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99DBA" w14:textId="4EC96879" w:rsidR="4AF75E79" w:rsidRPr="00EC61BC" w:rsidRDefault="00EC61BC" w:rsidP="2E0AAB0A">
      <w:pPr>
        <w:jc w:val="center"/>
        <w:rPr>
          <w:rFonts w:ascii="Arial" w:hAnsi="Arial" w:cs="Arial"/>
          <w:b/>
          <w:bCs/>
          <w:sz w:val="20"/>
          <w:szCs w:val="20"/>
        </w:rPr>
      </w:pPr>
      <w:r w:rsidRPr="00EC61BC">
        <w:rPr>
          <w:rFonts w:ascii="Arial" w:hAnsi="Arial" w:cs="Arial"/>
          <w:b/>
          <w:bCs/>
          <w:sz w:val="20"/>
          <w:szCs w:val="20"/>
        </w:rPr>
        <w:t>PREGUNTAS</w:t>
      </w:r>
      <w:r w:rsidR="4AF75E79" w:rsidRPr="00EC61BC">
        <w:rPr>
          <w:rFonts w:ascii="Arial" w:hAnsi="Arial" w:cs="Arial"/>
          <w:b/>
          <w:bCs/>
          <w:sz w:val="20"/>
          <w:szCs w:val="20"/>
        </w:rPr>
        <w:t xml:space="preserve"> REUNIÓN COLOMBIA - ESPAÑA</w:t>
      </w:r>
    </w:p>
    <w:p w14:paraId="72271107" w14:textId="79679C93" w:rsidR="262764AB" w:rsidRPr="00EC61BC" w:rsidRDefault="3406BD5E" w:rsidP="2E0AAB0A">
      <w:pPr>
        <w:jc w:val="center"/>
        <w:rPr>
          <w:rFonts w:ascii="Arial" w:hAnsi="Arial" w:cs="Arial"/>
          <w:b/>
          <w:bCs/>
          <w:sz w:val="20"/>
          <w:szCs w:val="20"/>
        </w:rPr>
      </w:pPr>
      <w:r w:rsidRPr="00EC61BC">
        <w:rPr>
          <w:rFonts w:ascii="Arial" w:hAnsi="Arial" w:cs="Arial"/>
          <w:b/>
          <w:bCs/>
          <w:sz w:val="20"/>
          <w:szCs w:val="20"/>
        </w:rPr>
        <w:t xml:space="preserve">EXPERIENCIA </w:t>
      </w:r>
      <w:r w:rsidR="004016B0">
        <w:rPr>
          <w:rFonts w:ascii="Arial" w:hAnsi="Arial" w:cs="Arial"/>
          <w:b/>
          <w:bCs/>
          <w:sz w:val="20"/>
          <w:szCs w:val="20"/>
        </w:rPr>
        <w:t xml:space="preserve">DEL </w:t>
      </w:r>
      <w:r w:rsidRPr="00EC61BC">
        <w:rPr>
          <w:rFonts w:ascii="Arial" w:hAnsi="Arial" w:cs="Arial"/>
          <w:b/>
          <w:bCs/>
          <w:sz w:val="20"/>
          <w:szCs w:val="20"/>
        </w:rPr>
        <w:t>INST</w:t>
      </w:r>
      <w:r w:rsidR="7359973F" w:rsidRPr="00EC61BC">
        <w:rPr>
          <w:rFonts w:ascii="Arial" w:hAnsi="Arial" w:cs="Arial"/>
          <w:b/>
          <w:bCs/>
          <w:sz w:val="20"/>
          <w:szCs w:val="20"/>
        </w:rPr>
        <w:t>IT</w:t>
      </w:r>
      <w:r w:rsidRPr="00EC61BC">
        <w:rPr>
          <w:rFonts w:ascii="Arial" w:hAnsi="Arial" w:cs="Arial"/>
          <w:b/>
          <w:bCs/>
          <w:sz w:val="20"/>
          <w:szCs w:val="20"/>
        </w:rPr>
        <w:t>UTO PARA LA DIVERSIFICACIÓN Y AHORRO DE LA ENERGÍA (IDAE)</w:t>
      </w:r>
      <w:r w:rsidR="00D34401">
        <w:rPr>
          <w:rFonts w:ascii="Arial" w:hAnsi="Arial" w:cs="Arial"/>
          <w:b/>
          <w:bCs/>
          <w:sz w:val="20"/>
          <w:szCs w:val="20"/>
        </w:rPr>
        <w:t xml:space="preserve"> - MINISTERIO PARA LA TRANSICIÓN ECOLÓGICA Y RETO DEMOGRÁFICO DE ESPAÑA.</w:t>
      </w:r>
    </w:p>
    <w:p w14:paraId="57201CA4" w14:textId="76CCA668" w:rsidR="005F5690" w:rsidRPr="00EC61BC" w:rsidRDefault="005F5690" w:rsidP="0385D6A0">
      <w:pPr>
        <w:jc w:val="both"/>
        <w:rPr>
          <w:rFonts w:ascii="Arial" w:hAnsi="Arial" w:cs="Arial"/>
          <w:sz w:val="20"/>
          <w:szCs w:val="20"/>
        </w:rPr>
      </w:pPr>
      <w:r w:rsidRPr="00EC61BC">
        <w:rPr>
          <w:rFonts w:ascii="Arial" w:hAnsi="Arial" w:cs="Arial"/>
          <w:sz w:val="20"/>
          <w:szCs w:val="20"/>
        </w:rPr>
        <w:t>Como resultado de la reciente reunión sostenida con representantes del Ministerio para la Transición Ecológica y el Reto Demográfico, en la que se realizó una breve presentación sobre el papel del Instituto para la Diversificación y Ahorro de la Energía (IDAE), así como una exposición sobre la Estrategia de Comunidades Energéticas y Comunidades Renovables en España, se ha considerado pertinente profundizar en el conocimiento sobre la experiencia española en este ámbito.</w:t>
      </w:r>
    </w:p>
    <w:p w14:paraId="05F7953A" w14:textId="77777777" w:rsidR="005F5690" w:rsidRPr="00EC61BC" w:rsidRDefault="005F5690" w:rsidP="005F5690">
      <w:pPr>
        <w:jc w:val="both"/>
        <w:rPr>
          <w:rFonts w:ascii="Arial" w:hAnsi="Arial" w:cs="Arial"/>
          <w:sz w:val="20"/>
          <w:szCs w:val="20"/>
        </w:rPr>
      </w:pPr>
      <w:r w:rsidRPr="00EC61BC">
        <w:rPr>
          <w:rFonts w:ascii="Arial" w:hAnsi="Arial" w:cs="Arial"/>
          <w:sz w:val="20"/>
          <w:szCs w:val="20"/>
        </w:rPr>
        <w:t>Con el objetivo de fortalecer el intercambio técnico entre ambos países y orientar el tema central de trabajo conjunto en el marco del Memorando de Entendimiento vigente, se formulan las siguientes preguntas. Estas buscan facilitar la comprensión del modelo español, identificar aprendizajes y analizar posibles aplicaciones en el contexto colombiano:</w:t>
      </w:r>
    </w:p>
    <w:p w14:paraId="062476CA" w14:textId="77777777" w:rsidR="005F5690"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¿Con cuántas comunidades energéticas renovables activas cuenta actualmente España?</w:t>
      </w:r>
    </w:p>
    <w:p w14:paraId="0CBB8C75" w14:textId="0D769C3D" w:rsidR="00B47294" w:rsidRPr="00B47294" w:rsidRDefault="00B47294" w:rsidP="00B47294">
      <w:pPr>
        <w:ind w:left="360"/>
        <w:jc w:val="both"/>
        <w:rPr>
          <w:rFonts w:ascii="Arial" w:hAnsi="Arial" w:cs="Arial"/>
          <w:sz w:val="20"/>
          <w:szCs w:val="20"/>
        </w:rPr>
      </w:pPr>
      <w:r w:rsidRPr="00B47294">
        <w:rPr>
          <w:rFonts w:ascii="Arial" w:hAnsi="Arial" w:cs="Arial"/>
          <w:sz w:val="20"/>
          <w:szCs w:val="20"/>
        </w:rPr>
        <w:t xml:space="preserve">Actualmente el Ministerio de Minas y Energía cuenta con 335 CE registradas. </w:t>
      </w:r>
    </w:p>
    <w:p w14:paraId="3FEDD702" w14:textId="77777777" w:rsidR="005F5690" w:rsidRDefault="005F5690" w:rsidP="005F5690">
      <w:pPr>
        <w:numPr>
          <w:ilvl w:val="0"/>
          <w:numId w:val="4"/>
        </w:numPr>
        <w:jc w:val="both"/>
        <w:rPr>
          <w:rFonts w:ascii="Arial" w:hAnsi="Arial" w:cs="Arial"/>
          <w:b/>
          <w:bCs/>
          <w:sz w:val="20"/>
          <w:szCs w:val="20"/>
        </w:rPr>
      </w:pPr>
      <w:commentRangeStart w:id="0"/>
      <w:r w:rsidRPr="003107CC">
        <w:rPr>
          <w:rFonts w:ascii="Arial" w:hAnsi="Arial" w:cs="Arial"/>
          <w:b/>
          <w:bCs/>
          <w:sz w:val="20"/>
          <w:szCs w:val="20"/>
        </w:rPr>
        <w:t>¿Cómo funciona el modelo de generación, comercialización y/o venta de energía para aquellas comunidades que producen electricidad a partir de fuentes renovables?</w:t>
      </w:r>
    </w:p>
    <w:p w14:paraId="37115879" w14:textId="3EF18A38" w:rsidR="00B47294" w:rsidRPr="003107CC" w:rsidRDefault="00B47294" w:rsidP="00B47294">
      <w:pPr>
        <w:ind w:left="360"/>
        <w:jc w:val="both"/>
        <w:rPr>
          <w:rFonts w:ascii="Arial" w:hAnsi="Arial" w:cs="Arial"/>
          <w:b/>
          <w:bCs/>
          <w:sz w:val="20"/>
          <w:szCs w:val="20"/>
        </w:rPr>
      </w:pPr>
      <w:r w:rsidRPr="00B47294">
        <w:rPr>
          <w:rFonts w:ascii="Arial" w:hAnsi="Arial" w:cs="Arial"/>
          <w:b/>
          <w:bCs/>
          <w:sz w:val="20"/>
          <w:szCs w:val="20"/>
          <w:highlight w:val="yellow"/>
        </w:rPr>
        <w:t>Pendiente.</w:t>
      </w:r>
      <w:r>
        <w:rPr>
          <w:rFonts w:ascii="Arial" w:hAnsi="Arial" w:cs="Arial"/>
          <w:b/>
          <w:bCs/>
          <w:sz w:val="20"/>
          <w:szCs w:val="20"/>
        </w:rPr>
        <w:t xml:space="preserve"> </w:t>
      </w:r>
      <w:commentRangeEnd w:id="0"/>
      <w:r w:rsidRPr="003107CC">
        <w:rPr>
          <w:rStyle w:val="Refdecomentario"/>
          <w:rFonts w:ascii="Arial" w:hAnsi="Arial" w:cs="Arial"/>
          <w:b/>
          <w:bCs/>
          <w:sz w:val="20"/>
          <w:szCs w:val="20"/>
        </w:rPr>
        <w:commentReference w:id="0"/>
      </w:r>
    </w:p>
    <w:p w14:paraId="225E4756" w14:textId="77777777" w:rsidR="005F5690"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Las comunidades energéticas renovables existentes, ¿están conformadas mayoritariamente por actores del sector productivo, residencial, o qué naturaleza jurídica predomina?</w:t>
      </w:r>
    </w:p>
    <w:p w14:paraId="5C61A681" w14:textId="44FF6072" w:rsidR="00B47294" w:rsidRPr="00B47294" w:rsidRDefault="00B47294" w:rsidP="00B47294">
      <w:pPr>
        <w:ind w:left="360"/>
        <w:jc w:val="both"/>
        <w:rPr>
          <w:rFonts w:ascii="Arial" w:hAnsi="Arial" w:cs="Arial"/>
          <w:sz w:val="20"/>
          <w:szCs w:val="20"/>
        </w:rPr>
      </w:pPr>
      <w:r w:rsidRPr="00B47294">
        <w:rPr>
          <w:rFonts w:ascii="Arial" w:hAnsi="Arial" w:cs="Arial"/>
          <w:sz w:val="20"/>
          <w:szCs w:val="20"/>
        </w:rPr>
        <w:t xml:space="preserve">Educativo, sociales </w:t>
      </w:r>
      <w:r>
        <w:rPr>
          <w:rFonts w:ascii="Arial" w:hAnsi="Arial" w:cs="Arial"/>
          <w:sz w:val="20"/>
          <w:szCs w:val="20"/>
        </w:rPr>
        <w:t xml:space="preserve">(Hacer explicación de la figura de asociatividad) </w:t>
      </w:r>
    </w:p>
    <w:p w14:paraId="15E37F64" w14:textId="77777777" w:rsidR="005F5690" w:rsidRPr="003107CC"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¿Cómo se calcula y realiza el cobro de la tarifa de energía eléctrica en España? ¿De qué forma se traduce dicho pago en beneficios directos para la comunidad renovable?</w:t>
      </w:r>
    </w:p>
    <w:p w14:paraId="539AEE4D" w14:textId="77777777" w:rsidR="005F5690"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¿Qué incentivos fiscales, como exenciones o reducciones en impuestos o IVA, se aplican a proyectos de energía renovable?</w:t>
      </w:r>
    </w:p>
    <w:p w14:paraId="5B8EBE5A" w14:textId="4F2DAAA8" w:rsidR="00B47294" w:rsidRPr="00B47294" w:rsidRDefault="00B47294" w:rsidP="00B47294">
      <w:pPr>
        <w:ind w:left="360"/>
        <w:jc w:val="both"/>
        <w:rPr>
          <w:rFonts w:ascii="Arial" w:hAnsi="Arial" w:cs="Arial"/>
          <w:sz w:val="20"/>
          <w:szCs w:val="20"/>
        </w:rPr>
      </w:pPr>
      <w:r w:rsidRPr="00B47294">
        <w:rPr>
          <w:rFonts w:ascii="Arial" w:hAnsi="Arial" w:cs="Arial"/>
          <w:sz w:val="20"/>
          <w:szCs w:val="20"/>
        </w:rPr>
        <w:t>En Colombia, si realizas inversiones en fuentes no convencionales de energía (como paneles solares), puedes acceder a cuatro beneficios principales regulados por la Ley 1715 de 2014 y la Ley 2099 de 2021:</w:t>
      </w:r>
    </w:p>
    <w:p w14:paraId="0E295F03" w14:textId="77777777" w:rsidR="00B47294" w:rsidRPr="00B47294" w:rsidRDefault="00B47294" w:rsidP="00B47294">
      <w:pPr>
        <w:numPr>
          <w:ilvl w:val="0"/>
          <w:numId w:val="15"/>
        </w:numPr>
        <w:jc w:val="both"/>
        <w:rPr>
          <w:rFonts w:ascii="Arial" w:hAnsi="Arial" w:cs="Arial"/>
          <w:sz w:val="20"/>
          <w:szCs w:val="20"/>
        </w:rPr>
      </w:pPr>
      <w:r w:rsidRPr="00B47294">
        <w:rPr>
          <w:rFonts w:ascii="Arial" w:hAnsi="Arial" w:cs="Arial"/>
          <w:sz w:val="20"/>
          <w:szCs w:val="20"/>
        </w:rPr>
        <w:t>Deducción en renta: Puedes deducir hasta el \(50\%\) del valor total de tu inversión en el impuesto de renta durante los primeros cinco años.</w:t>
      </w:r>
    </w:p>
    <w:p w14:paraId="642EA12C" w14:textId="77777777" w:rsidR="00B47294" w:rsidRPr="00B47294" w:rsidRDefault="00B47294" w:rsidP="00B47294">
      <w:pPr>
        <w:numPr>
          <w:ilvl w:val="0"/>
          <w:numId w:val="15"/>
        </w:numPr>
        <w:jc w:val="both"/>
        <w:rPr>
          <w:rFonts w:ascii="Arial" w:hAnsi="Arial" w:cs="Arial"/>
          <w:sz w:val="20"/>
          <w:szCs w:val="20"/>
        </w:rPr>
      </w:pPr>
      <w:r w:rsidRPr="00B47294">
        <w:rPr>
          <w:rFonts w:ascii="Arial" w:hAnsi="Arial" w:cs="Arial"/>
          <w:sz w:val="20"/>
          <w:szCs w:val="20"/>
        </w:rPr>
        <w:t>Exclusión de IVA: Tus equipos y componentes solares (nacionales o importados) están exentos del impuesto del IVA.</w:t>
      </w:r>
    </w:p>
    <w:p w14:paraId="6BE9FFD4" w14:textId="77777777" w:rsidR="00B47294" w:rsidRPr="00B47294" w:rsidRDefault="00B47294" w:rsidP="00B47294">
      <w:pPr>
        <w:numPr>
          <w:ilvl w:val="0"/>
          <w:numId w:val="15"/>
        </w:numPr>
        <w:jc w:val="both"/>
        <w:rPr>
          <w:rFonts w:ascii="Arial" w:hAnsi="Arial" w:cs="Arial"/>
          <w:sz w:val="20"/>
          <w:szCs w:val="20"/>
        </w:rPr>
      </w:pPr>
      <w:r w:rsidRPr="00B47294">
        <w:rPr>
          <w:rFonts w:ascii="Arial" w:hAnsi="Arial" w:cs="Arial"/>
          <w:sz w:val="20"/>
          <w:szCs w:val="20"/>
        </w:rPr>
        <w:t>Exención de aranceles: No pagas derechos arancelarios por la importación de maquinaria y equipos.</w:t>
      </w:r>
    </w:p>
    <w:p w14:paraId="484E4BC7" w14:textId="77777777" w:rsidR="00B47294" w:rsidRPr="003107CC" w:rsidRDefault="00B47294" w:rsidP="00B47294">
      <w:pPr>
        <w:ind w:left="360"/>
        <w:jc w:val="both"/>
        <w:rPr>
          <w:rFonts w:ascii="Arial" w:hAnsi="Arial" w:cs="Arial"/>
          <w:b/>
          <w:bCs/>
          <w:sz w:val="20"/>
          <w:szCs w:val="20"/>
        </w:rPr>
      </w:pPr>
    </w:p>
    <w:p w14:paraId="79B4EB0B" w14:textId="77777777" w:rsidR="005F5690"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¿Pueden las entidades estatales constituirse como comunidades energéticas renovables y adquirir energía mediante contratos PPA (Power Purchase Agreement) con desarrolladores de proyectos?</w:t>
      </w:r>
    </w:p>
    <w:p w14:paraId="57C57C13" w14:textId="3BB60111" w:rsidR="00B47294" w:rsidRDefault="00B47294" w:rsidP="00B47294">
      <w:pPr>
        <w:ind w:left="360"/>
        <w:jc w:val="both"/>
        <w:rPr>
          <w:rFonts w:ascii="Arial" w:hAnsi="Arial" w:cs="Arial"/>
          <w:sz w:val="20"/>
          <w:szCs w:val="20"/>
        </w:rPr>
      </w:pPr>
      <w:r w:rsidRPr="00B47294">
        <w:rPr>
          <w:rFonts w:ascii="Arial" w:hAnsi="Arial" w:cs="Arial"/>
          <w:sz w:val="20"/>
          <w:szCs w:val="20"/>
        </w:rPr>
        <w:t>Pueden las entidades estatales constituirse como comunidades energéticas renovables</w:t>
      </w:r>
      <w:r>
        <w:rPr>
          <w:rFonts w:ascii="Arial" w:hAnsi="Arial" w:cs="Arial"/>
          <w:sz w:val="20"/>
          <w:szCs w:val="20"/>
        </w:rPr>
        <w:t>, si</w:t>
      </w:r>
    </w:p>
    <w:p w14:paraId="348EED63" w14:textId="6A35BADD" w:rsidR="00B47294" w:rsidRDefault="00B47294" w:rsidP="00B47294">
      <w:pPr>
        <w:ind w:left="360"/>
        <w:jc w:val="both"/>
        <w:rPr>
          <w:rFonts w:ascii="Arial" w:hAnsi="Arial" w:cs="Arial"/>
          <w:sz w:val="20"/>
          <w:szCs w:val="20"/>
        </w:rPr>
      </w:pPr>
      <w:commentRangeStart w:id="1"/>
      <w:r w:rsidRPr="003107CC">
        <w:rPr>
          <w:rFonts w:ascii="Arial" w:hAnsi="Arial" w:cs="Arial"/>
          <w:b/>
          <w:bCs/>
          <w:sz w:val="20"/>
          <w:szCs w:val="20"/>
        </w:rPr>
        <w:t>adquirir energía mediante contratos PPA (Power Purchase Agreement) con desarrolladores de proyectos?</w:t>
      </w:r>
      <w:commentRangeEnd w:id="1"/>
      <w:r>
        <w:rPr>
          <w:rStyle w:val="Refdecomentario"/>
          <w:rFonts w:ascii="Arial" w:hAnsi="Arial" w:cs="Arial"/>
          <w:sz w:val="20"/>
          <w:szCs w:val="20"/>
        </w:rPr>
        <w:commentReference w:id="1"/>
      </w:r>
    </w:p>
    <w:p w14:paraId="2CA9F47E" w14:textId="77777777" w:rsidR="005F5690" w:rsidRPr="003107CC"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¿Qué características tienen los modelos de PPA en España y son estos aplicables a entidades públicas?</w:t>
      </w:r>
    </w:p>
    <w:p w14:paraId="0F15440B" w14:textId="77777777" w:rsidR="005F5690"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¿Existe financiamiento estatal o instrumentos de apoyo para cubrir el CAPEX (inversión inicial) necesario para la implementación de proyectos de comunidades renovables?</w:t>
      </w:r>
    </w:p>
    <w:p w14:paraId="7EA4C58F" w14:textId="267B8AAF" w:rsidR="00B47294" w:rsidRPr="00B47294" w:rsidRDefault="00B47294" w:rsidP="00B47294">
      <w:pPr>
        <w:ind w:left="360"/>
        <w:jc w:val="both"/>
        <w:rPr>
          <w:rFonts w:ascii="Arial" w:hAnsi="Arial" w:cs="Arial"/>
          <w:sz w:val="20"/>
          <w:szCs w:val="20"/>
        </w:rPr>
      </w:pPr>
      <w:r w:rsidRPr="00B47294">
        <w:rPr>
          <w:rFonts w:ascii="Arial" w:hAnsi="Arial" w:cs="Arial"/>
          <w:sz w:val="20"/>
          <w:szCs w:val="20"/>
        </w:rPr>
        <w:t>Si, el MME financia conforme a la Resolución 40509 de 2024</w:t>
      </w:r>
    </w:p>
    <w:p w14:paraId="3DE00B4D" w14:textId="77777777" w:rsidR="005F5690" w:rsidRPr="003107CC"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¿Cuáles han sido los principales desafíos regulatorios que enfrentó España en la implementación y regulación de las comunidades energéticas renovables?</w:t>
      </w:r>
    </w:p>
    <w:p w14:paraId="571E5061" w14:textId="77777777" w:rsidR="005F5690"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¿Qué beneficios e incentivos esp</w:t>
      </w:r>
      <w:commentRangeStart w:id="2"/>
      <w:r w:rsidRPr="003107CC">
        <w:rPr>
          <w:rFonts w:ascii="Arial" w:hAnsi="Arial" w:cs="Arial"/>
          <w:b/>
          <w:bCs/>
          <w:sz w:val="20"/>
          <w:szCs w:val="20"/>
        </w:rPr>
        <w:t>ecíficos promueven la conformación y sostenibilidad de las comunidades energéticas</w:t>
      </w:r>
      <w:commentRangeEnd w:id="2"/>
      <w:r w:rsidR="000C5C93" w:rsidRPr="003107CC">
        <w:rPr>
          <w:rStyle w:val="Refdecomentario"/>
          <w:rFonts w:ascii="Arial" w:hAnsi="Arial" w:cs="Arial"/>
          <w:b/>
          <w:bCs/>
          <w:sz w:val="20"/>
          <w:szCs w:val="20"/>
        </w:rPr>
        <w:commentReference w:id="2"/>
      </w:r>
      <w:r w:rsidRPr="003107CC">
        <w:rPr>
          <w:rFonts w:ascii="Arial" w:hAnsi="Arial" w:cs="Arial"/>
          <w:b/>
          <w:bCs/>
          <w:sz w:val="20"/>
          <w:szCs w:val="20"/>
        </w:rPr>
        <w:t>?</w:t>
      </w:r>
    </w:p>
    <w:p w14:paraId="06CA3CF5" w14:textId="77777777" w:rsidR="00B47294" w:rsidRDefault="00B47294" w:rsidP="00B47294">
      <w:pPr>
        <w:ind w:left="720"/>
        <w:jc w:val="both"/>
        <w:rPr>
          <w:rFonts w:ascii="Arial" w:hAnsi="Arial" w:cs="Arial"/>
          <w:b/>
          <w:bCs/>
          <w:sz w:val="20"/>
          <w:szCs w:val="20"/>
        </w:rPr>
      </w:pPr>
    </w:p>
    <w:p w14:paraId="40FE770C" w14:textId="77777777" w:rsidR="005F5690" w:rsidRPr="003107CC" w:rsidRDefault="005F5690" w:rsidP="005F5690">
      <w:pPr>
        <w:numPr>
          <w:ilvl w:val="0"/>
          <w:numId w:val="4"/>
        </w:numPr>
        <w:jc w:val="both"/>
        <w:rPr>
          <w:rFonts w:ascii="Arial" w:hAnsi="Arial" w:cs="Arial"/>
          <w:b/>
          <w:bCs/>
          <w:sz w:val="20"/>
          <w:szCs w:val="20"/>
        </w:rPr>
      </w:pPr>
      <w:r w:rsidRPr="003107CC">
        <w:rPr>
          <w:rFonts w:ascii="Arial" w:hAnsi="Arial" w:cs="Arial"/>
          <w:b/>
          <w:bCs/>
          <w:sz w:val="20"/>
          <w:szCs w:val="20"/>
        </w:rPr>
        <w:t>¿Existe algún instrumento o guía técnica que oriente sobre los criterios que deben cumplir las edificaciones para ser consideradas energéticamente eficientes?</w:t>
      </w:r>
    </w:p>
    <w:p w14:paraId="7F649D87" w14:textId="44EADB78" w:rsidR="009B68E3" w:rsidRDefault="009B68E3" w:rsidP="00EF5FE0">
      <w:pPr>
        <w:ind w:left="708"/>
        <w:jc w:val="both"/>
        <w:rPr>
          <w:rFonts w:ascii="Arial" w:hAnsi="Arial" w:cs="Arial"/>
          <w:sz w:val="20"/>
          <w:szCs w:val="20"/>
          <w:lang w:val="es-ES"/>
        </w:rPr>
      </w:pPr>
      <w:r w:rsidRPr="009B68E3">
        <w:rPr>
          <w:rFonts w:ascii="Arial" w:hAnsi="Arial" w:cs="Arial"/>
          <w:sz w:val="20"/>
          <w:szCs w:val="20"/>
          <w:lang w:val="es-ES"/>
        </w:rPr>
        <w:t>Los criterios que deben cumplir los edificios de nueva construcción y los que sufran rehabilitación o cambio de uso deben cumplir las exigencias energéticas establecidas en los Documentos Básicos de Ahorro de energía denominados DBHE del Código Técnico de la Edificación.</w:t>
      </w:r>
      <w:r>
        <w:rPr>
          <w:rFonts w:ascii="Arial" w:hAnsi="Arial" w:cs="Arial"/>
          <w:sz w:val="20"/>
          <w:szCs w:val="20"/>
          <w:lang w:val="es-ES"/>
        </w:rPr>
        <w:t xml:space="preserve"> </w:t>
      </w:r>
      <w:r w:rsidRPr="009B68E3">
        <w:rPr>
          <w:rFonts w:ascii="Arial" w:hAnsi="Arial" w:cs="Arial"/>
          <w:sz w:val="20"/>
          <w:szCs w:val="20"/>
          <w:lang w:val="es-ES"/>
        </w:rPr>
        <w:t>(</w:t>
      </w:r>
      <w:hyperlink r:id="rId14" w:history="1">
        <w:r w:rsidRPr="00444CFF">
          <w:rPr>
            <w:rStyle w:val="Hipervnculo"/>
            <w:rFonts w:ascii="Arial" w:hAnsi="Arial" w:cs="Arial"/>
            <w:sz w:val="20"/>
            <w:szCs w:val="20"/>
            <w:lang w:val="es-ES"/>
          </w:rPr>
          <w:t>https://www.idae.es/tecnologias/eficiencia-energetica/edificacion/codigo-tecnico-de-la-edificacion</w:t>
        </w:r>
      </w:hyperlink>
      <w:r>
        <w:rPr>
          <w:rFonts w:ascii="Arial" w:hAnsi="Arial" w:cs="Arial"/>
          <w:sz w:val="20"/>
          <w:szCs w:val="20"/>
          <w:lang w:val="es-ES"/>
        </w:rPr>
        <w:t>).</w:t>
      </w:r>
    </w:p>
    <w:p w14:paraId="126AF871" w14:textId="77777777" w:rsidR="003107CC" w:rsidRPr="009B68E3" w:rsidRDefault="003107CC" w:rsidP="00EF5FE0">
      <w:pPr>
        <w:ind w:left="708"/>
        <w:jc w:val="both"/>
        <w:rPr>
          <w:rFonts w:ascii="Arial" w:hAnsi="Arial" w:cs="Arial"/>
          <w:sz w:val="20"/>
          <w:szCs w:val="20"/>
          <w:lang w:val="es-ES"/>
        </w:rPr>
      </w:pPr>
    </w:p>
    <w:p w14:paraId="7D29F114" w14:textId="77777777" w:rsidR="005F5690" w:rsidRPr="00CC2EDD" w:rsidRDefault="005F5690" w:rsidP="005F5690">
      <w:pPr>
        <w:numPr>
          <w:ilvl w:val="0"/>
          <w:numId w:val="4"/>
        </w:numPr>
        <w:jc w:val="both"/>
        <w:rPr>
          <w:rFonts w:ascii="Arial" w:hAnsi="Arial" w:cs="Arial"/>
          <w:b/>
          <w:bCs/>
          <w:sz w:val="20"/>
          <w:szCs w:val="20"/>
        </w:rPr>
      </w:pPr>
      <w:r w:rsidRPr="00CC2EDD">
        <w:rPr>
          <w:rFonts w:ascii="Arial" w:hAnsi="Arial" w:cs="Arial"/>
          <w:b/>
          <w:bCs/>
          <w:sz w:val="20"/>
          <w:szCs w:val="20"/>
        </w:rPr>
        <w:t>¿Hay disponible una herramienta o guía metodológica para la elaboración de una línea base que permita desarrollar proyectos de eficiencia energética? En caso afirmativo, ¿se trata de un instrumento general o diferenciado por sectores?</w:t>
      </w:r>
    </w:p>
    <w:p w14:paraId="442535F0" w14:textId="52596787" w:rsidR="00DC6838" w:rsidRDefault="00DC6838" w:rsidP="00DC6838">
      <w:pPr>
        <w:ind w:left="720"/>
        <w:jc w:val="both"/>
        <w:rPr>
          <w:rFonts w:ascii="Arial" w:hAnsi="Arial" w:cs="Arial"/>
          <w:sz w:val="20"/>
          <w:szCs w:val="20"/>
        </w:rPr>
      </w:pPr>
      <w:r w:rsidRPr="00DC6838">
        <w:rPr>
          <w:rFonts w:ascii="Arial" w:hAnsi="Arial" w:cs="Arial"/>
          <w:sz w:val="20"/>
          <w:szCs w:val="20"/>
        </w:rPr>
        <w:t>En cada una de las bases reguladoras y convocatorias de los distintos programas de ayuda, se establece la descripción de las actuaciones elegibles y los requisitos de eficiencia energética a cumplir por las mismas.</w:t>
      </w:r>
    </w:p>
    <w:p w14:paraId="535BAF53" w14:textId="77777777" w:rsidR="003107CC" w:rsidRPr="00DC6838" w:rsidRDefault="003107CC" w:rsidP="00DC6838">
      <w:pPr>
        <w:ind w:left="720"/>
        <w:jc w:val="both"/>
        <w:rPr>
          <w:rFonts w:ascii="Arial" w:hAnsi="Arial" w:cs="Arial"/>
          <w:sz w:val="20"/>
          <w:szCs w:val="20"/>
        </w:rPr>
      </w:pPr>
    </w:p>
    <w:p w14:paraId="6DF5B286" w14:textId="2DE529A1" w:rsidR="4BC2564C" w:rsidRPr="003107CC" w:rsidRDefault="4BC2564C" w:rsidP="2E0AAB0A">
      <w:pPr>
        <w:numPr>
          <w:ilvl w:val="0"/>
          <w:numId w:val="4"/>
        </w:numPr>
        <w:jc w:val="both"/>
        <w:rPr>
          <w:rFonts w:ascii="Arial" w:hAnsi="Arial" w:cs="Arial"/>
          <w:b/>
          <w:bCs/>
          <w:sz w:val="20"/>
          <w:szCs w:val="20"/>
        </w:rPr>
      </w:pPr>
      <w:r w:rsidRPr="003107CC">
        <w:rPr>
          <w:rFonts w:ascii="Arial" w:hAnsi="Arial" w:cs="Arial"/>
          <w:b/>
          <w:bCs/>
          <w:sz w:val="20"/>
          <w:szCs w:val="20"/>
        </w:rPr>
        <w:t>¿Qué mecanismos de coordinación existen entre el IDAE y otros niveles de gobierno (autonómicos y locales)?</w:t>
      </w:r>
    </w:p>
    <w:p w14:paraId="009E4CCA" w14:textId="3B28DB86" w:rsidR="009B68E3" w:rsidRDefault="009B68E3" w:rsidP="00EF5FE0">
      <w:pPr>
        <w:ind w:left="708"/>
        <w:jc w:val="both"/>
        <w:rPr>
          <w:rFonts w:ascii="Arial" w:hAnsi="Arial" w:cs="Arial"/>
          <w:sz w:val="20"/>
          <w:szCs w:val="20"/>
        </w:rPr>
      </w:pPr>
      <w:r>
        <w:rPr>
          <w:rFonts w:ascii="Arial" w:hAnsi="Arial" w:cs="Arial"/>
          <w:sz w:val="20"/>
          <w:szCs w:val="20"/>
        </w:rPr>
        <w:lastRenderedPageBreak/>
        <w:t>Tenemos en España un mecanismo que se llama</w:t>
      </w:r>
      <w:r w:rsidRPr="009B68E3">
        <w:rPr>
          <w:rFonts w:ascii="Arial" w:hAnsi="Arial" w:cs="Arial"/>
          <w:sz w:val="20"/>
          <w:szCs w:val="20"/>
        </w:rPr>
        <w:t xml:space="preserve"> Conferencia Sectorial </w:t>
      </w:r>
      <w:r>
        <w:rPr>
          <w:rFonts w:ascii="Arial" w:hAnsi="Arial" w:cs="Arial"/>
          <w:sz w:val="20"/>
          <w:szCs w:val="20"/>
        </w:rPr>
        <w:t>que</w:t>
      </w:r>
      <w:r w:rsidRPr="009B68E3">
        <w:rPr>
          <w:rFonts w:ascii="Arial" w:hAnsi="Arial" w:cs="Arial"/>
          <w:sz w:val="20"/>
          <w:szCs w:val="20"/>
        </w:rPr>
        <w:t xml:space="preserve"> es un órgano de cooperación multilateral que reúne a representantes de la Administración General del Estado y de las Comunidades Autónomas para coordinar y tomar decisiones sobre </w:t>
      </w:r>
      <w:r>
        <w:rPr>
          <w:rFonts w:ascii="Arial" w:hAnsi="Arial" w:cs="Arial"/>
          <w:sz w:val="20"/>
          <w:szCs w:val="20"/>
        </w:rPr>
        <w:t>cualquier</w:t>
      </w:r>
      <w:r w:rsidRPr="009B68E3">
        <w:rPr>
          <w:rFonts w:ascii="Arial" w:hAnsi="Arial" w:cs="Arial"/>
          <w:sz w:val="20"/>
          <w:szCs w:val="20"/>
        </w:rPr>
        <w:t xml:space="preserve"> sector específico de la actividad pública. Estas conferencias están integradas por el titular del departamento ministerial competente y por los consejeros autonómicos responsables de la misma materia</w:t>
      </w:r>
      <w:r>
        <w:rPr>
          <w:rFonts w:ascii="Arial" w:hAnsi="Arial" w:cs="Arial"/>
          <w:sz w:val="20"/>
          <w:szCs w:val="20"/>
        </w:rPr>
        <w:t xml:space="preserve">. </w:t>
      </w:r>
      <w:r w:rsidRPr="009B68E3">
        <w:rPr>
          <w:rFonts w:ascii="Arial" w:hAnsi="Arial" w:cs="Arial"/>
          <w:sz w:val="20"/>
          <w:szCs w:val="20"/>
        </w:rPr>
        <w:t>Las Conferencias Sectoriales pueden tener funciones consultivas, decisorias o de coordinación, y su objetivo principal es mejorar el ejercicio de las competencias de cada administración pública y abordar problemas comunes que afectan a los ciudadanos</w:t>
      </w:r>
      <w:r>
        <w:rPr>
          <w:rFonts w:ascii="Arial" w:hAnsi="Arial" w:cs="Arial"/>
          <w:sz w:val="20"/>
          <w:szCs w:val="20"/>
        </w:rPr>
        <w:t>.</w:t>
      </w:r>
    </w:p>
    <w:p w14:paraId="7926DF63" w14:textId="1EE7CC78" w:rsidR="00090038" w:rsidRDefault="00090038" w:rsidP="00EF5FE0">
      <w:pPr>
        <w:ind w:left="708"/>
        <w:jc w:val="both"/>
        <w:rPr>
          <w:rFonts w:ascii="Arial" w:hAnsi="Arial" w:cs="Arial"/>
          <w:sz w:val="20"/>
          <w:szCs w:val="20"/>
        </w:rPr>
      </w:pPr>
      <w:r>
        <w:rPr>
          <w:rFonts w:ascii="Arial" w:hAnsi="Arial" w:cs="Arial"/>
          <w:sz w:val="20"/>
          <w:szCs w:val="20"/>
        </w:rPr>
        <w:t xml:space="preserve">Si nos centramos exclusivamente en municipios (locales) existe </w:t>
      </w:r>
      <w:r w:rsidR="00486409">
        <w:rPr>
          <w:rFonts w:ascii="Arial" w:hAnsi="Arial" w:cs="Arial"/>
          <w:sz w:val="20"/>
          <w:szCs w:val="20"/>
        </w:rPr>
        <w:t xml:space="preserve">una institución que se llama </w:t>
      </w:r>
      <w:r w:rsidR="00486409" w:rsidRPr="00486409">
        <w:rPr>
          <w:rFonts w:ascii="Arial" w:hAnsi="Arial" w:cs="Arial"/>
          <w:sz w:val="20"/>
          <w:szCs w:val="20"/>
        </w:rPr>
        <w:t xml:space="preserve">Federación Española de Municipios y Provincias (FEMP) </w:t>
      </w:r>
      <w:r w:rsidR="00486409">
        <w:rPr>
          <w:rFonts w:ascii="Arial" w:hAnsi="Arial" w:cs="Arial"/>
          <w:sz w:val="20"/>
          <w:szCs w:val="20"/>
        </w:rPr>
        <w:t xml:space="preserve">que </w:t>
      </w:r>
      <w:r w:rsidR="00486409" w:rsidRPr="00486409">
        <w:rPr>
          <w:rFonts w:ascii="Arial" w:hAnsi="Arial" w:cs="Arial"/>
          <w:sz w:val="20"/>
          <w:szCs w:val="20"/>
        </w:rPr>
        <w:t>es la Asociación de Entidades Locales de ámbito estatal con mayor implantación, que agrupa Ayuntamientos, Diputaciones, Consejos y Cabildos Insulares, en total 7.410, que representan más el 95% de los Gobiernos Locales españoles.</w:t>
      </w:r>
      <w:r w:rsidR="00486409">
        <w:rPr>
          <w:rFonts w:ascii="Arial" w:hAnsi="Arial" w:cs="Arial"/>
          <w:sz w:val="20"/>
          <w:szCs w:val="20"/>
        </w:rPr>
        <w:t xml:space="preserve"> </w:t>
      </w:r>
      <w:r w:rsidR="00486409" w:rsidRPr="00486409">
        <w:rPr>
          <w:rFonts w:ascii="Arial" w:hAnsi="Arial" w:cs="Arial"/>
          <w:sz w:val="20"/>
          <w:szCs w:val="20"/>
        </w:rPr>
        <w:t>La FEMP es la Sección Española del Consejo de Municipios y Regiones de Europa (CMRE) y sede oficial de la Organización Iberoamericana de Cooperación Intermunicipal (OICI).</w:t>
      </w:r>
      <w:r w:rsidR="00486409">
        <w:rPr>
          <w:rFonts w:ascii="Arial" w:hAnsi="Arial" w:cs="Arial"/>
          <w:sz w:val="20"/>
          <w:szCs w:val="20"/>
        </w:rPr>
        <w:t xml:space="preserve"> Esta asociación sería el interlocutor más apropiado para tratar temas que afectaran en exclusividad a municipios.</w:t>
      </w:r>
    </w:p>
    <w:p w14:paraId="6995A05D" w14:textId="77777777" w:rsidR="003107CC" w:rsidRDefault="003107CC" w:rsidP="00EF5FE0">
      <w:pPr>
        <w:ind w:left="708"/>
        <w:jc w:val="both"/>
        <w:rPr>
          <w:rFonts w:ascii="Arial" w:hAnsi="Arial" w:cs="Arial"/>
          <w:sz w:val="20"/>
          <w:szCs w:val="20"/>
        </w:rPr>
      </w:pPr>
    </w:p>
    <w:p w14:paraId="2AC61787" w14:textId="77777777" w:rsidR="00EE07D5" w:rsidRDefault="00EE07D5" w:rsidP="00EF5FE0">
      <w:pPr>
        <w:ind w:left="708"/>
        <w:jc w:val="both"/>
        <w:rPr>
          <w:rFonts w:ascii="Arial" w:hAnsi="Arial" w:cs="Arial"/>
          <w:sz w:val="20"/>
          <w:szCs w:val="20"/>
        </w:rPr>
      </w:pPr>
    </w:p>
    <w:p w14:paraId="5BDC2C36" w14:textId="77777777" w:rsidR="00EE07D5" w:rsidRDefault="00EE07D5" w:rsidP="00EF5FE0">
      <w:pPr>
        <w:ind w:left="708"/>
        <w:jc w:val="both"/>
        <w:rPr>
          <w:rFonts w:ascii="Arial" w:hAnsi="Arial" w:cs="Arial"/>
          <w:sz w:val="20"/>
          <w:szCs w:val="20"/>
        </w:rPr>
      </w:pPr>
    </w:p>
    <w:p w14:paraId="0ECA0BD9" w14:textId="2947F6B2" w:rsidR="26B6AE43" w:rsidRPr="003107CC" w:rsidRDefault="26B6AE43" w:rsidP="2E0AAB0A">
      <w:pPr>
        <w:numPr>
          <w:ilvl w:val="0"/>
          <w:numId w:val="4"/>
        </w:numPr>
        <w:jc w:val="both"/>
        <w:rPr>
          <w:rFonts w:ascii="Arial" w:hAnsi="Arial" w:cs="Arial"/>
          <w:b/>
          <w:bCs/>
          <w:sz w:val="20"/>
          <w:szCs w:val="20"/>
        </w:rPr>
      </w:pPr>
      <w:r w:rsidRPr="003107CC">
        <w:rPr>
          <w:rFonts w:ascii="Arial" w:hAnsi="Arial" w:cs="Arial"/>
          <w:b/>
          <w:bCs/>
          <w:sz w:val="20"/>
          <w:szCs w:val="20"/>
        </w:rPr>
        <w:t>¿Cómo se calcula y distribuye la cuota de ahorro energético entre los distintos agentes del mercado?</w:t>
      </w:r>
    </w:p>
    <w:p w14:paraId="6F7EE915" w14:textId="7C311479" w:rsidR="00355391" w:rsidRDefault="00355391" w:rsidP="00355391">
      <w:pPr>
        <w:ind w:left="720"/>
        <w:jc w:val="both"/>
        <w:rPr>
          <w:rFonts w:ascii="Arial" w:hAnsi="Arial" w:cs="Arial"/>
          <w:sz w:val="20"/>
          <w:szCs w:val="20"/>
        </w:rPr>
      </w:pPr>
      <w:r w:rsidRPr="00355391">
        <w:rPr>
          <w:rFonts w:ascii="Arial" w:hAnsi="Arial" w:cs="Arial"/>
          <w:sz w:val="20"/>
          <w:szCs w:val="20"/>
        </w:rPr>
        <w:t xml:space="preserve">La cuota de ahorro energético se define </w:t>
      </w:r>
      <w:r>
        <w:rPr>
          <w:rFonts w:ascii="Arial" w:hAnsi="Arial" w:cs="Arial"/>
          <w:sz w:val="20"/>
          <w:szCs w:val="20"/>
        </w:rPr>
        <w:t>en e</w:t>
      </w:r>
      <w:r w:rsidRPr="00355391">
        <w:rPr>
          <w:rFonts w:ascii="Arial" w:hAnsi="Arial" w:cs="Arial"/>
          <w:sz w:val="20"/>
          <w:szCs w:val="20"/>
        </w:rPr>
        <w:t xml:space="preserve">l Plan Nacional Integrado de Energía y Clima (PNIEC) </w:t>
      </w:r>
      <w:r>
        <w:rPr>
          <w:rFonts w:ascii="Arial" w:hAnsi="Arial" w:cs="Arial"/>
          <w:sz w:val="20"/>
          <w:szCs w:val="20"/>
        </w:rPr>
        <w:t>que es el documento</w:t>
      </w:r>
      <w:r w:rsidRPr="00355391">
        <w:rPr>
          <w:rFonts w:ascii="Arial" w:hAnsi="Arial" w:cs="Arial"/>
          <w:sz w:val="20"/>
          <w:szCs w:val="20"/>
        </w:rPr>
        <w:t xml:space="preserve"> de orientación estratégica nacional que integra la política de energía y clima con un horizonte temporal a 2030, de acuerdo con la normativa nacional y europea</w:t>
      </w:r>
      <w:r>
        <w:rPr>
          <w:rFonts w:ascii="Arial" w:hAnsi="Arial" w:cs="Arial"/>
          <w:sz w:val="20"/>
          <w:szCs w:val="20"/>
        </w:rPr>
        <w:t xml:space="preserve"> (</w:t>
      </w:r>
      <w:hyperlink r:id="rId15" w:anchor=":~:text=El%20Plan%20Nacional%20Integrado%20de,la%20normativa%20nacional%20y%20europea" w:history="1">
        <w:r w:rsidRPr="00823FBD">
          <w:rPr>
            <w:rStyle w:val="Hipervnculo"/>
            <w:rFonts w:ascii="Arial" w:hAnsi="Arial" w:cs="Arial"/>
            <w:sz w:val="20"/>
            <w:szCs w:val="20"/>
          </w:rPr>
          <w:t>https://www.miteco.gob.es/es/energia/estrategia-normativa/pniec-23-30.html#:~:text=El%20Plan%20Nacional%20Integrado%20de,la%20normativa%20nacional%20y%20europea</w:t>
        </w:r>
      </w:hyperlink>
      <w:r>
        <w:rPr>
          <w:rFonts w:ascii="Arial" w:hAnsi="Arial" w:cs="Arial"/>
          <w:sz w:val="20"/>
          <w:szCs w:val="20"/>
        </w:rPr>
        <w:t xml:space="preserve"> )</w:t>
      </w:r>
      <w:r w:rsidRPr="00355391">
        <w:rPr>
          <w:rFonts w:ascii="Arial" w:hAnsi="Arial" w:cs="Arial"/>
          <w:sz w:val="20"/>
          <w:szCs w:val="20"/>
        </w:rPr>
        <w:t>.</w:t>
      </w:r>
      <w:r>
        <w:rPr>
          <w:rFonts w:ascii="Arial" w:hAnsi="Arial" w:cs="Arial"/>
          <w:sz w:val="20"/>
          <w:szCs w:val="20"/>
        </w:rPr>
        <w:t xml:space="preserve"> </w:t>
      </w:r>
      <w:r w:rsidRPr="00355391">
        <w:rPr>
          <w:rFonts w:ascii="Arial" w:hAnsi="Arial" w:cs="Arial"/>
          <w:sz w:val="20"/>
          <w:szCs w:val="20"/>
        </w:rPr>
        <w:t>Para el periodo de obligación vigente, 2021-2030, el Ministerio para la Transición Ecológica y el Reto Demográfico ha realizado</w:t>
      </w:r>
      <w:r>
        <w:rPr>
          <w:rFonts w:ascii="Arial" w:hAnsi="Arial" w:cs="Arial"/>
          <w:sz w:val="20"/>
          <w:szCs w:val="20"/>
        </w:rPr>
        <w:t xml:space="preserve"> </w:t>
      </w:r>
      <w:r w:rsidRPr="00355391">
        <w:rPr>
          <w:rFonts w:ascii="Arial" w:hAnsi="Arial" w:cs="Arial"/>
          <w:sz w:val="20"/>
          <w:szCs w:val="20"/>
        </w:rPr>
        <w:t>una previsión en la que se espera que sea el sector transporte el que contribuya en mayor medida al objetivo de</w:t>
      </w:r>
      <w:r>
        <w:rPr>
          <w:rFonts w:ascii="Arial" w:hAnsi="Arial" w:cs="Arial"/>
          <w:sz w:val="20"/>
          <w:szCs w:val="20"/>
        </w:rPr>
        <w:t xml:space="preserve"> </w:t>
      </w:r>
      <w:r w:rsidRPr="00355391">
        <w:rPr>
          <w:rFonts w:ascii="Arial" w:hAnsi="Arial" w:cs="Arial"/>
          <w:sz w:val="20"/>
          <w:szCs w:val="20"/>
        </w:rPr>
        <w:t>ahorro de energía final acumulado para el periodo 2021-2030, asignándole un objetivo de ahorro de 19.938,9 ktep, lo que</w:t>
      </w:r>
      <w:r>
        <w:rPr>
          <w:rFonts w:ascii="Arial" w:hAnsi="Arial" w:cs="Arial"/>
          <w:sz w:val="20"/>
          <w:szCs w:val="20"/>
        </w:rPr>
        <w:t xml:space="preserve"> </w:t>
      </w:r>
      <w:r w:rsidRPr="00355391">
        <w:rPr>
          <w:rFonts w:ascii="Arial" w:hAnsi="Arial" w:cs="Arial"/>
          <w:sz w:val="20"/>
          <w:szCs w:val="20"/>
        </w:rPr>
        <w:t>representa el 37% del objetivo acumulado de ahorro de energía en el periodo. Le sigue el sector industrial, con un objetivo</w:t>
      </w:r>
      <w:r>
        <w:rPr>
          <w:rFonts w:ascii="Arial" w:hAnsi="Arial" w:cs="Arial"/>
          <w:sz w:val="20"/>
          <w:szCs w:val="20"/>
        </w:rPr>
        <w:t xml:space="preserve"> </w:t>
      </w:r>
      <w:r w:rsidRPr="00355391">
        <w:rPr>
          <w:rFonts w:ascii="Arial" w:hAnsi="Arial" w:cs="Arial"/>
          <w:sz w:val="20"/>
          <w:szCs w:val="20"/>
        </w:rPr>
        <w:t>de ahorro acumulado de 16.328,9 ktep para el periodo, que representa el 30% sobre el objetivo. A continuación, el sector</w:t>
      </w:r>
      <w:r>
        <w:rPr>
          <w:rFonts w:ascii="Arial" w:hAnsi="Arial" w:cs="Arial"/>
          <w:sz w:val="20"/>
          <w:szCs w:val="20"/>
        </w:rPr>
        <w:t xml:space="preserve"> </w:t>
      </w:r>
      <w:r w:rsidRPr="00355391">
        <w:rPr>
          <w:rFonts w:ascii="Arial" w:hAnsi="Arial" w:cs="Arial"/>
          <w:sz w:val="20"/>
          <w:szCs w:val="20"/>
        </w:rPr>
        <w:t>terciario tiene un objetivo de ahorro de 8.150,0 ktep, lo cual supone un 15% sobre el total de ahorro. El sector residencial</w:t>
      </w:r>
      <w:r>
        <w:rPr>
          <w:rFonts w:ascii="Arial" w:hAnsi="Arial" w:cs="Arial"/>
          <w:sz w:val="20"/>
          <w:szCs w:val="20"/>
        </w:rPr>
        <w:t xml:space="preserve"> </w:t>
      </w:r>
      <w:r w:rsidRPr="00355391">
        <w:rPr>
          <w:rFonts w:ascii="Arial" w:hAnsi="Arial" w:cs="Arial"/>
          <w:sz w:val="20"/>
          <w:szCs w:val="20"/>
        </w:rPr>
        <w:t>tiene un objetivo de ahorro de 7.323,6 ktep, representando el 14% del total. El sector de agricultura y pesca es el que representa</w:t>
      </w:r>
      <w:r>
        <w:rPr>
          <w:rFonts w:ascii="Arial" w:hAnsi="Arial" w:cs="Arial"/>
          <w:sz w:val="20"/>
          <w:szCs w:val="20"/>
        </w:rPr>
        <w:t xml:space="preserve"> </w:t>
      </w:r>
      <w:r w:rsidRPr="00355391">
        <w:rPr>
          <w:rFonts w:ascii="Arial" w:hAnsi="Arial" w:cs="Arial"/>
          <w:sz w:val="20"/>
          <w:szCs w:val="20"/>
        </w:rPr>
        <w:t>una menor</w:t>
      </w:r>
      <w:r>
        <w:rPr>
          <w:rFonts w:ascii="Arial" w:hAnsi="Arial" w:cs="Arial"/>
          <w:sz w:val="20"/>
          <w:szCs w:val="20"/>
        </w:rPr>
        <w:t xml:space="preserve"> </w:t>
      </w:r>
      <w:r w:rsidRPr="00355391">
        <w:rPr>
          <w:rFonts w:ascii="Arial" w:hAnsi="Arial" w:cs="Arial"/>
          <w:sz w:val="20"/>
          <w:szCs w:val="20"/>
        </w:rPr>
        <w:t>contribución con 1.851,8 ktep (3%) de ahorro acumulado. La representación gráfica de este reparto</w:t>
      </w:r>
      <w:r>
        <w:rPr>
          <w:rFonts w:ascii="Arial" w:hAnsi="Arial" w:cs="Arial"/>
          <w:sz w:val="20"/>
          <w:szCs w:val="20"/>
        </w:rPr>
        <w:t xml:space="preserve"> </w:t>
      </w:r>
      <w:r w:rsidRPr="00355391">
        <w:rPr>
          <w:rFonts w:ascii="Arial" w:hAnsi="Arial" w:cs="Arial"/>
          <w:sz w:val="20"/>
          <w:szCs w:val="20"/>
        </w:rPr>
        <w:t>se recoge en la siguiente figura</w:t>
      </w:r>
      <w:r>
        <w:rPr>
          <w:rFonts w:ascii="Arial" w:hAnsi="Arial" w:cs="Arial"/>
          <w:sz w:val="20"/>
          <w:szCs w:val="20"/>
        </w:rPr>
        <w:t>:</w:t>
      </w:r>
    </w:p>
    <w:p w14:paraId="3F871B89" w14:textId="54863CAA" w:rsidR="00355391" w:rsidRDefault="00355391" w:rsidP="00355391">
      <w:pPr>
        <w:ind w:left="720"/>
        <w:rPr>
          <w:rFonts w:ascii="Arial" w:hAnsi="Arial" w:cs="Arial"/>
          <w:sz w:val="20"/>
          <w:szCs w:val="20"/>
        </w:rPr>
      </w:pPr>
      <w:r>
        <w:rPr>
          <w:rFonts w:ascii="Arial" w:hAnsi="Arial" w:cs="Arial"/>
          <w:noProof/>
          <w:sz w:val="20"/>
          <w:szCs w:val="20"/>
        </w:rPr>
        <w:lastRenderedPageBreak/>
        <w:drawing>
          <wp:inline distT="0" distB="0" distL="0" distR="0" wp14:anchorId="3CD223B8" wp14:editId="1B779CBE">
            <wp:extent cx="4763165" cy="2000529"/>
            <wp:effectExtent l="0" t="0" r="0" b="0"/>
            <wp:docPr id="1085028521" name="Imagen 2" descr="Gráfico, Gráfico circu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028521" name="Imagen 2" descr="Gráfico, Gráfico circular&#10;&#10;Descripción generada automáticamente"/>
                    <pic:cNvPicPr/>
                  </pic:nvPicPr>
                  <pic:blipFill>
                    <a:blip r:embed="rId16">
                      <a:extLst>
                        <a:ext uri="{28A0092B-C50C-407E-A947-70E740481C1C}">
                          <a14:useLocalDpi xmlns:a14="http://schemas.microsoft.com/office/drawing/2010/main" val="0"/>
                        </a:ext>
                      </a:extLst>
                    </a:blip>
                    <a:stretch>
                      <a:fillRect/>
                    </a:stretch>
                  </pic:blipFill>
                  <pic:spPr>
                    <a:xfrm>
                      <a:off x="0" y="0"/>
                      <a:ext cx="4763165" cy="2000529"/>
                    </a:xfrm>
                    <a:prstGeom prst="rect">
                      <a:avLst/>
                    </a:prstGeom>
                  </pic:spPr>
                </pic:pic>
              </a:graphicData>
            </a:graphic>
          </wp:inline>
        </w:drawing>
      </w:r>
    </w:p>
    <w:p w14:paraId="2E186B95" w14:textId="2309D92D" w:rsidR="00355391" w:rsidRDefault="00355391" w:rsidP="000F4CF5">
      <w:pPr>
        <w:ind w:left="720"/>
        <w:jc w:val="both"/>
        <w:rPr>
          <w:rFonts w:ascii="Arial" w:hAnsi="Arial" w:cs="Arial"/>
          <w:sz w:val="20"/>
          <w:szCs w:val="20"/>
        </w:rPr>
      </w:pPr>
      <w:r>
        <w:rPr>
          <w:rFonts w:ascii="Arial" w:hAnsi="Arial" w:cs="Arial"/>
          <w:sz w:val="20"/>
          <w:szCs w:val="20"/>
        </w:rPr>
        <w:t xml:space="preserve">La distribución de ahorros energéticos por sectores es una decisión política pero que tiene ciertos fundamentos técnicos como analizar qué sector es el que mayor consumo de energía final tiene en España (transporte) o </w:t>
      </w:r>
      <w:r w:rsidR="000F4CF5">
        <w:rPr>
          <w:rFonts w:ascii="Arial" w:hAnsi="Arial" w:cs="Arial"/>
          <w:sz w:val="20"/>
          <w:szCs w:val="20"/>
        </w:rPr>
        <w:t xml:space="preserve">en </w:t>
      </w:r>
      <w:r>
        <w:rPr>
          <w:rFonts w:ascii="Arial" w:hAnsi="Arial" w:cs="Arial"/>
          <w:sz w:val="20"/>
          <w:szCs w:val="20"/>
        </w:rPr>
        <w:t xml:space="preserve">qué sector </w:t>
      </w:r>
      <w:r w:rsidR="000F4CF5">
        <w:rPr>
          <w:rFonts w:ascii="Arial" w:hAnsi="Arial" w:cs="Arial"/>
          <w:sz w:val="20"/>
          <w:szCs w:val="20"/>
        </w:rPr>
        <w:t>se obtienen</w:t>
      </w:r>
      <w:r>
        <w:rPr>
          <w:rFonts w:ascii="Arial" w:hAnsi="Arial" w:cs="Arial"/>
          <w:sz w:val="20"/>
          <w:szCs w:val="20"/>
        </w:rPr>
        <w:t xml:space="preserve"> más ahorros de energía final con menos inversión (industria). Es necesario</w:t>
      </w:r>
      <w:r w:rsidR="000F4CF5">
        <w:rPr>
          <w:rFonts w:ascii="Arial" w:hAnsi="Arial" w:cs="Arial"/>
          <w:sz w:val="20"/>
          <w:szCs w:val="20"/>
        </w:rPr>
        <w:t>, por tanto,</w:t>
      </w:r>
      <w:r>
        <w:rPr>
          <w:rFonts w:ascii="Arial" w:hAnsi="Arial" w:cs="Arial"/>
          <w:sz w:val="20"/>
          <w:szCs w:val="20"/>
        </w:rPr>
        <w:t xml:space="preserve"> realizar un estudio técnico </w:t>
      </w:r>
      <w:r w:rsidR="000F4CF5">
        <w:rPr>
          <w:rFonts w:ascii="Arial" w:hAnsi="Arial" w:cs="Arial"/>
          <w:sz w:val="20"/>
          <w:szCs w:val="20"/>
        </w:rPr>
        <w:t>basado en datos oficiales sobre el comportamiento de cada sector nacional centrándose principalmente en variables económicas y consumos de energía primaria y final.</w:t>
      </w:r>
    </w:p>
    <w:p w14:paraId="1A5BCC8D" w14:textId="483E9DF7" w:rsidR="000F4CF5" w:rsidRDefault="000F4CF5" w:rsidP="00C025EF">
      <w:pPr>
        <w:ind w:left="720"/>
        <w:jc w:val="both"/>
        <w:rPr>
          <w:rFonts w:ascii="Arial" w:hAnsi="Arial" w:cs="Arial"/>
          <w:sz w:val="20"/>
          <w:szCs w:val="20"/>
        </w:rPr>
      </w:pPr>
      <w:r>
        <w:rPr>
          <w:rFonts w:ascii="Arial" w:hAnsi="Arial" w:cs="Arial"/>
          <w:sz w:val="20"/>
          <w:szCs w:val="20"/>
        </w:rPr>
        <w:t xml:space="preserve">Por otro lado, </w:t>
      </w:r>
      <w:r w:rsidR="00DC6838">
        <w:rPr>
          <w:rFonts w:ascii="Arial" w:hAnsi="Arial" w:cs="Arial"/>
          <w:sz w:val="20"/>
          <w:szCs w:val="20"/>
        </w:rPr>
        <w:t>en relación con</w:t>
      </w:r>
      <w:r>
        <w:rPr>
          <w:rFonts w:ascii="Arial" w:hAnsi="Arial" w:cs="Arial"/>
          <w:sz w:val="20"/>
          <w:szCs w:val="20"/>
        </w:rPr>
        <w:t xml:space="preserve"> las aportaciones de los sujetos obligados</w:t>
      </w:r>
      <w:r w:rsidR="00C025EF">
        <w:rPr>
          <w:rFonts w:ascii="Arial" w:hAnsi="Arial" w:cs="Arial"/>
          <w:sz w:val="20"/>
          <w:szCs w:val="20"/>
        </w:rPr>
        <w:t xml:space="preserve"> al Fondo Nacional de Eficiencia Energética, los sujetos obligados son l</w:t>
      </w:r>
      <w:r w:rsidR="00C025EF" w:rsidRPr="00C025EF">
        <w:rPr>
          <w:rFonts w:ascii="Arial" w:hAnsi="Arial" w:cs="Arial"/>
          <w:sz w:val="20"/>
          <w:szCs w:val="20"/>
        </w:rPr>
        <w:t>as empresas comercializadoras de gas y electricidad, los operadores de productos petrolíferos al por mayor y los operadores de gases licuados de petróleo al por mayor</w:t>
      </w:r>
      <w:r w:rsidR="00C025EF">
        <w:rPr>
          <w:rFonts w:ascii="Arial" w:hAnsi="Arial" w:cs="Arial"/>
          <w:sz w:val="20"/>
          <w:szCs w:val="20"/>
        </w:rPr>
        <w:t>; y su aportación se calcula p</w:t>
      </w:r>
      <w:r w:rsidR="00C025EF" w:rsidRPr="00C025EF">
        <w:rPr>
          <w:rFonts w:ascii="Arial" w:hAnsi="Arial" w:cs="Arial"/>
          <w:sz w:val="20"/>
          <w:szCs w:val="20"/>
        </w:rPr>
        <w:t>roporcionalmente al volumen de sus ventas de energía a consumidores finales y, en el caso de los operadores al por mayor de productos petrolíferos y gases licuados del petróleo, al volumen de ventas para su posterior distribución al por menor.</w:t>
      </w:r>
    </w:p>
    <w:p w14:paraId="2F66C1B9" w14:textId="77777777" w:rsidR="003107CC" w:rsidRDefault="003107CC" w:rsidP="00C025EF">
      <w:pPr>
        <w:ind w:left="720"/>
        <w:jc w:val="both"/>
        <w:rPr>
          <w:rFonts w:ascii="Arial" w:hAnsi="Arial" w:cs="Arial"/>
          <w:sz w:val="20"/>
          <w:szCs w:val="20"/>
        </w:rPr>
      </w:pPr>
    </w:p>
    <w:p w14:paraId="11B911CB" w14:textId="3166D6B8" w:rsidR="26B6AE43" w:rsidRDefault="26B6AE43" w:rsidP="2E0AAB0A">
      <w:pPr>
        <w:numPr>
          <w:ilvl w:val="0"/>
          <w:numId w:val="4"/>
        </w:numPr>
        <w:jc w:val="both"/>
        <w:rPr>
          <w:rFonts w:ascii="Arial" w:hAnsi="Arial" w:cs="Arial"/>
          <w:b/>
          <w:bCs/>
          <w:sz w:val="20"/>
          <w:szCs w:val="20"/>
        </w:rPr>
      </w:pPr>
      <w:commentRangeStart w:id="3"/>
      <w:r w:rsidRPr="003107CC">
        <w:rPr>
          <w:rFonts w:ascii="Arial" w:hAnsi="Arial" w:cs="Arial"/>
          <w:b/>
          <w:bCs/>
          <w:sz w:val="20"/>
          <w:szCs w:val="20"/>
        </w:rPr>
        <w:t>¿Qué barreras regulatorias enfrentaron para implementar el sistema de obligaciones de eficiencia energética y cómo las superaron?</w:t>
      </w:r>
      <w:commentRangeEnd w:id="3"/>
      <w:r w:rsidR="00A26BC8">
        <w:rPr>
          <w:rStyle w:val="Refdecomentario"/>
          <w:rFonts w:ascii="Arial" w:hAnsi="Arial" w:cs="Arial"/>
          <w:b/>
          <w:bCs/>
          <w:sz w:val="20"/>
          <w:szCs w:val="20"/>
        </w:rPr>
        <w:commentReference w:id="3"/>
      </w:r>
    </w:p>
    <w:p w14:paraId="1121D589" w14:textId="77777777" w:rsidR="003107CC" w:rsidRPr="003107CC" w:rsidRDefault="003107CC" w:rsidP="003107CC">
      <w:pPr>
        <w:ind w:left="720"/>
        <w:jc w:val="both"/>
        <w:rPr>
          <w:rFonts w:ascii="Arial" w:hAnsi="Arial" w:cs="Arial"/>
          <w:b/>
          <w:bCs/>
          <w:sz w:val="20"/>
          <w:szCs w:val="20"/>
        </w:rPr>
      </w:pPr>
    </w:p>
    <w:p w14:paraId="32BCFB2F" w14:textId="4B280917" w:rsidR="26B6AE43" w:rsidRPr="00CC2EDD" w:rsidRDefault="26B6AE43" w:rsidP="2E0AAB0A">
      <w:pPr>
        <w:numPr>
          <w:ilvl w:val="0"/>
          <w:numId w:val="4"/>
        </w:numPr>
        <w:jc w:val="both"/>
        <w:rPr>
          <w:rFonts w:ascii="Arial" w:eastAsia="Aptos" w:hAnsi="Arial" w:cs="Arial"/>
          <w:b/>
          <w:bCs/>
          <w:sz w:val="20"/>
          <w:szCs w:val="20"/>
        </w:rPr>
      </w:pPr>
      <w:r w:rsidRPr="00CC2EDD">
        <w:rPr>
          <w:rFonts w:ascii="Arial" w:hAnsi="Arial" w:cs="Arial"/>
          <w:b/>
          <w:bCs/>
          <w:sz w:val="20"/>
          <w:szCs w:val="20"/>
        </w:rPr>
        <w:t xml:space="preserve">¿Cuáles han sido las principales lecciones aprendidas </w:t>
      </w:r>
      <w:r w:rsidRPr="00CC2EDD">
        <w:rPr>
          <w:rFonts w:ascii="Arial" w:eastAsia="Aptos" w:hAnsi="Arial" w:cs="Arial"/>
          <w:b/>
          <w:bCs/>
          <w:sz w:val="20"/>
          <w:szCs w:val="20"/>
        </w:rPr>
        <w:t>al implementar los programas de ayudas (subvenciones, préstamos sin interés, etc.)?</w:t>
      </w:r>
    </w:p>
    <w:p w14:paraId="2F5576F0" w14:textId="0D9CC990" w:rsidR="003107CC" w:rsidRDefault="003107CC" w:rsidP="003107CC">
      <w:pPr>
        <w:ind w:left="720"/>
        <w:jc w:val="both"/>
        <w:rPr>
          <w:rFonts w:ascii="Arial" w:eastAsia="Aptos" w:hAnsi="Arial" w:cs="Arial"/>
          <w:sz w:val="20"/>
          <w:szCs w:val="20"/>
        </w:rPr>
      </w:pPr>
      <w:r>
        <w:rPr>
          <w:rFonts w:ascii="Arial" w:eastAsia="Aptos" w:hAnsi="Arial" w:cs="Arial"/>
          <w:sz w:val="20"/>
          <w:szCs w:val="20"/>
        </w:rPr>
        <w:t>El hecho de</w:t>
      </w:r>
      <w:r w:rsidRPr="003107CC">
        <w:rPr>
          <w:rFonts w:ascii="Arial" w:eastAsia="Aptos" w:hAnsi="Arial" w:cs="Arial"/>
          <w:sz w:val="20"/>
          <w:szCs w:val="20"/>
        </w:rPr>
        <w:t xml:space="preserve"> que a la hora de desarrollar los programas de ayuda </w:t>
      </w:r>
      <w:r>
        <w:rPr>
          <w:rFonts w:ascii="Arial" w:eastAsia="Aptos" w:hAnsi="Arial" w:cs="Arial"/>
          <w:sz w:val="20"/>
          <w:szCs w:val="20"/>
        </w:rPr>
        <w:t>sea</w:t>
      </w:r>
      <w:r w:rsidRPr="003107CC">
        <w:rPr>
          <w:rFonts w:ascii="Arial" w:eastAsia="Aptos" w:hAnsi="Arial" w:cs="Arial"/>
          <w:sz w:val="20"/>
          <w:szCs w:val="20"/>
        </w:rPr>
        <w:t xml:space="preserve"> necesario analizar los se</w:t>
      </w:r>
      <w:r>
        <w:rPr>
          <w:rFonts w:ascii="Arial" w:eastAsia="Aptos" w:hAnsi="Arial" w:cs="Arial"/>
          <w:sz w:val="20"/>
          <w:szCs w:val="20"/>
        </w:rPr>
        <w:t>ctores y sus necesidades, permite la adquisición de un gran conocimiento técnico en IDAE, el cual se ve reforzado durante la gestión de los programas (evaluación, implementación y verificación</w:t>
      </w:r>
      <w:r w:rsidR="00CC2EDD">
        <w:rPr>
          <w:rFonts w:ascii="Arial" w:eastAsia="Aptos" w:hAnsi="Arial" w:cs="Arial"/>
          <w:sz w:val="20"/>
          <w:szCs w:val="20"/>
        </w:rPr>
        <w:t>)</w:t>
      </w:r>
      <w:r>
        <w:rPr>
          <w:rFonts w:ascii="Arial" w:eastAsia="Aptos" w:hAnsi="Arial" w:cs="Arial"/>
          <w:sz w:val="20"/>
          <w:szCs w:val="20"/>
        </w:rPr>
        <w:t>.</w:t>
      </w:r>
    </w:p>
    <w:p w14:paraId="3EF9EB96" w14:textId="12247451" w:rsidR="003107CC" w:rsidRPr="003107CC" w:rsidRDefault="003107CC" w:rsidP="003107CC">
      <w:pPr>
        <w:ind w:left="720"/>
        <w:jc w:val="both"/>
        <w:rPr>
          <w:rFonts w:ascii="Arial" w:eastAsia="Aptos" w:hAnsi="Arial" w:cs="Arial"/>
          <w:sz w:val="20"/>
          <w:szCs w:val="20"/>
          <w:lang w:val="es-ES"/>
        </w:rPr>
      </w:pPr>
      <w:r w:rsidRPr="003107CC">
        <w:rPr>
          <w:rFonts w:ascii="Arial" w:eastAsia="Aptos" w:hAnsi="Arial" w:cs="Arial"/>
          <w:sz w:val="20"/>
          <w:szCs w:val="20"/>
          <w:lang w:val="es-ES"/>
        </w:rPr>
        <w:t>Este conocimiento es fundamental p</w:t>
      </w:r>
      <w:r>
        <w:rPr>
          <w:rFonts w:ascii="Arial" w:eastAsia="Aptos" w:hAnsi="Arial" w:cs="Arial"/>
          <w:sz w:val="20"/>
          <w:szCs w:val="20"/>
          <w:lang w:val="es-ES"/>
        </w:rPr>
        <w:t>ara un diseño eficaz de futuros programas.</w:t>
      </w:r>
    </w:p>
    <w:p w14:paraId="517217A4" w14:textId="77777777" w:rsidR="003107CC" w:rsidRPr="00B47294" w:rsidRDefault="003107CC" w:rsidP="003107CC">
      <w:pPr>
        <w:ind w:left="720"/>
        <w:jc w:val="both"/>
        <w:rPr>
          <w:rFonts w:ascii="Arial" w:eastAsia="Aptos" w:hAnsi="Arial" w:cs="Arial"/>
          <w:sz w:val="20"/>
          <w:szCs w:val="20"/>
          <w:highlight w:val="yellow"/>
        </w:rPr>
      </w:pPr>
    </w:p>
    <w:p w14:paraId="67F84CFF" w14:textId="6B945106" w:rsidR="26B6AE43" w:rsidRPr="003107CC" w:rsidRDefault="26B6AE43" w:rsidP="2E0AAB0A">
      <w:pPr>
        <w:numPr>
          <w:ilvl w:val="0"/>
          <w:numId w:val="4"/>
        </w:numPr>
        <w:jc w:val="both"/>
        <w:rPr>
          <w:rFonts w:ascii="Arial" w:hAnsi="Arial" w:cs="Arial"/>
          <w:b/>
          <w:bCs/>
          <w:sz w:val="20"/>
          <w:szCs w:val="20"/>
        </w:rPr>
      </w:pPr>
      <w:commentRangeStart w:id="4"/>
      <w:r w:rsidRPr="003107CC">
        <w:rPr>
          <w:rFonts w:ascii="Arial" w:eastAsiaTheme="minorEastAsia" w:hAnsi="Arial" w:cs="Arial"/>
          <w:b/>
          <w:bCs/>
          <w:sz w:val="20"/>
          <w:szCs w:val="20"/>
        </w:rPr>
        <w:t>¿Qué retos y oportunidades se encontraron al implementar los CAEs como mecanismo alternativo al pago económico?</w:t>
      </w:r>
      <w:commentRangeEnd w:id="4"/>
      <w:r w:rsidR="00A26BC8" w:rsidRPr="003107CC">
        <w:rPr>
          <w:rStyle w:val="Refdecomentario"/>
          <w:rFonts w:ascii="Arial" w:hAnsi="Arial" w:cs="Arial"/>
          <w:b/>
          <w:bCs/>
          <w:sz w:val="20"/>
          <w:szCs w:val="20"/>
        </w:rPr>
        <w:commentReference w:id="4"/>
      </w:r>
    </w:p>
    <w:p w14:paraId="3EFDE013" w14:textId="77777777" w:rsidR="003107CC" w:rsidRPr="003107CC" w:rsidRDefault="003107CC" w:rsidP="003107CC">
      <w:pPr>
        <w:ind w:left="720"/>
        <w:jc w:val="both"/>
        <w:rPr>
          <w:rFonts w:ascii="Arial" w:hAnsi="Arial" w:cs="Arial"/>
          <w:b/>
          <w:bCs/>
          <w:sz w:val="20"/>
          <w:szCs w:val="20"/>
        </w:rPr>
      </w:pPr>
    </w:p>
    <w:p w14:paraId="28CC0854" w14:textId="0F9049C6" w:rsidR="00D34401" w:rsidRPr="003107CC" w:rsidRDefault="26B6AE43" w:rsidP="00D34401">
      <w:pPr>
        <w:pStyle w:val="Prrafodelista"/>
        <w:numPr>
          <w:ilvl w:val="0"/>
          <w:numId w:val="4"/>
        </w:numPr>
        <w:jc w:val="both"/>
        <w:rPr>
          <w:rFonts w:ascii="Arial" w:hAnsi="Arial" w:cs="Arial"/>
          <w:b/>
          <w:bCs/>
          <w:sz w:val="20"/>
          <w:szCs w:val="20"/>
        </w:rPr>
      </w:pPr>
      <w:commentRangeStart w:id="5"/>
      <w:r w:rsidRPr="003107CC">
        <w:rPr>
          <w:rFonts w:ascii="Arial" w:eastAsiaTheme="minorEastAsia" w:hAnsi="Arial" w:cs="Arial"/>
          <w:b/>
          <w:bCs/>
          <w:sz w:val="20"/>
          <w:szCs w:val="20"/>
        </w:rPr>
        <w:t>¿Cómo se verifica y valida el ahorro energético reportado por las empresas para obtener CAEs?</w:t>
      </w:r>
      <w:commentRangeEnd w:id="5"/>
      <w:r w:rsidR="00A26BC8" w:rsidRPr="003107CC">
        <w:rPr>
          <w:rStyle w:val="Refdecomentario"/>
          <w:rFonts w:ascii="Arial" w:hAnsi="Arial" w:cs="Arial"/>
          <w:b/>
          <w:bCs/>
          <w:sz w:val="20"/>
          <w:szCs w:val="20"/>
        </w:rPr>
        <w:commentReference w:id="5"/>
      </w:r>
    </w:p>
    <w:p w14:paraId="75C87075" w14:textId="77777777" w:rsidR="003107CC" w:rsidRPr="003107CC" w:rsidRDefault="003107CC" w:rsidP="003107CC">
      <w:pPr>
        <w:pStyle w:val="Prrafodelista"/>
        <w:rPr>
          <w:rFonts w:ascii="Arial" w:hAnsi="Arial" w:cs="Arial"/>
          <w:b/>
          <w:bCs/>
          <w:sz w:val="20"/>
          <w:szCs w:val="20"/>
        </w:rPr>
      </w:pPr>
    </w:p>
    <w:p w14:paraId="47BE978A" w14:textId="77777777" w:rsidR="003107CC" w:rsidRPr="003107CC" w:rsidRDefault="003107CC" w:rsidP="003107CC">
      <w:pPr>
        <w:pStyle w:val="Prrafodelista"/>
        <w:jc w:val="both"/>
        <w:rPr>
          <w:rFonts w:ascii="Arial" w:hAnsi="Arial" w:cs="Arial"/>
          <w:b/>
          <w:bCs/>
          <w:sz w:val="20"/>
          <w:szCs w:val="20"/>
        </w:rPr>
      </w:pPr>
    </w:p>
    <w:p w14:paraId="79C90FF1" w14:textId="77777777" w:rsidR="00D34401" w:rsidRPr="00D34401" w:rsidRDefault="00D34401" w:rsidP="00D34401">
      <w:pPr>
        <w:pStyle w:val="Prrafodelista"/>
        <w:jc w:val="both"/>
        <w:rPr>
          <w:rFonts w:ascii="Arial" w:hAnsi="Arial" w:cs="Arial"/>
          <w:sz w:val="20"/>
          <w:szCs w:val="20"/>
        </w:rPr>
      </w:pPr>
    </w:p>
    <w:p w14:paraId="36EFC611" w14:textId="72DA95D0" w:rsidR="26B6AE43" w:rsidRPr="003107CC" w:rsidRDefault="26B6AE43" w:rsidP="2E0AAB0A">
      <w:pPr>
        <w:pStyle w:val="Prrafodelista"/>
        <w:numPr>
          <w:ilvl w:val="0"/>
          <w:numId w:val="4"/>
        </w:numPr>
        <w:jc w:val="both"/>
        <w:rPr>
          <w:rFonts w:ascii="Arial" w:hAnsi="Arial" w:cs="Arial"/>
          <w:b/>
          <w:bCs/>
          <w:sz w:val="20"/>
          <w:szCs w:val="20"/>
        </w:rPr>
      </w:pPr>
      <w:commentRangeStart w:id="6"/>
      <w:r w:rsidRPr="003107CC">
        <w:rPr>
          <w:rFonts w:ascii="Arial" w:eastAsiaTheme="minorEastAsia" w:hAnsi="Arial" w:cs="Arial"/>
          <w:b/>
          <w:bCs/>
          <w:sz w:val="20"/>
          <w:szCs w:val="20"/>
        </w:rPr>
        <w:t>¿Qué impacto ha tenido este sistema en la dinamización del mercado de servicios energéticos?</w:t>
      </w:r>
      <w:commentRangeEnd w:id="6"/>
      <w:r w:rsidR="00A26BC8" w:rsidRPr="003107CC">
        <w:rPr>
          <w:rStyle w:val="Refdecomentario"/>
          <w:rFonts w:ascii="Arial" w:hAnsi="Arial" w:cs="Arial"/>
          <w:b/>
          <w:bCs/>
          <w:sz w:val="20"/>
          <w:szCs w:val="20"/>
        </w:rPr>
        <w:commentReference w:id="6"/>
      </w:r>
    </w:p>
    <w:p w14:paraId="48E3BD8C" w14:textId="77777777" w:rsidR="003107CC" w:rsidRPr="003107CC" w:rsidRDefault="003107CC" w:rsidP="003107CC">
      <w:pPr>
        <w:pStyle w:val="Prrafodelista"/>
        <w:jc w:val="both"/>
        <w:rPr>
          <w:rFonts w:ascii="Arial" w:hAnsi="Arial" w:cs="Arial"/>
          <w:b/>
          <w:bCs/>
          <w:sz w:val="20"/>
          <w:szCs w:val="20"/>
        </w:rPr>
      </w:pPr>
    </w:p>
    <w:p w14:paraId="1FBCA1EE" w14:textId="25BD6897" w:rsidR="7E3BC97D" w:rsidRDefault="7E3BC97D" w:rsidP="2E0AAB0A">
      <w:pPr>
        <w:numPr>
          <w:ilvl w:val="0"/>
          <w:numId w:val="4"/>
        </w:numPr>
        <w:jc w:val="both"/>
        <w:rPr>
          <w:rFonts w:ascii="Arial" w:eastAsiaTheme="minorEastAsia" w:hAnsi="Arial" w:cs="Arial"/>
          <w:b/>
          <w:bCs/>
          <w:sz w:val="20"/>
          <w:szCs w:val="20"/>
          <w:highlight w:val="yellow"/>
        </w:rPr>
      </w:pPr>
      <w:commentRangeStart w:id="7"/>
      <w:r w:rsidRPr="003107CC">
        <w:rPr>
          <w:rFonts w:ascii="Arial" w:eastAsiaTheme="minorEastAsia" w:hAnsi="Arial" w:cs="Arial"/>
          <w:b/>
          <w:bCs/>
          <w:sz w:val="20"/>
          <w:szCs w:val="20"/>
          <w:highlight w:val="yellow"/>
        </w:rPr>
        <w:t>¿Cuáles han sido las medidas más efectivas en sectores clave como transporte, industria, edificios y sector público?</w:t>
      </w:r>
      <w:commentRangeEnd w:id="7"/>
      <w:r w:rsidR="00A26BC8">
        <w:rPr>
          <w:rStyle w:val="Refdecomentario"/>
          <w:rFonts w:ascii="Arial" w:eastAsiaTheme="minorEastAsia" w:hAnsi="Arial" w:cs="Arial"/>
          <w:b/>
          <w:bCs/>
          <w:sz w:val="20"/>
          <w:szCs w:val="20"/>
          <w:highlight w:val="yellow"/>
        </w:rPr>
        <w:commentReference w:id="7"/>
      </w:r>
    </w:p>
    <w:p w14:paraId="15FE039E" w14:textId="77777777" w:rsidR="003107CC" w:rsidRDefault="003107CC" w:rsidP="003107CC">
      <w:pPr>
        <w:pStyle w:val="Prrafodelista"/>
        <w:rPr>
          <w:rFonts w:ascii="Arial" w:eastAsiaTheme="minorEastAsia" w:hAnsi="Arial" w:cs="Arial"/>
          <w:b/>
          <w:bCs/>
          <w:sz w:val="20"/>
          <w:szCs w:val="20"/>
          <w:highlight w:val="yellow"/>
        </w:rPr>
      </w:pPr>
    </w:p>
    <w:p w14:paraId="01513679" w14:textId="0A7A3524" w:rsidR="7E3BC97D" w:rsidRPr="003107CC" w:rsidRDefault="7E3BC97D" w:rsidP="002E630B">
      <w:pPr>
        <w:pStyle w:val="Prrafodelista"/>
        <w:numPr>
          <w:ilvl w:val="0"/>
          <w:numId w:val="4"/>
        </w:numPr>
        <w:ind w:left="714" w:hanging="357"/>
        <w:contextualSpacing w:val="0"/>
        <w:jc w:val="both"/>
        <w:rPr>
          <w:rFonts w:ascii="Arial" w:eastAsia="Aptos" w:hAnsi="Arial" w:cs="Arial"/>
          <w:b/>
          <w:bCs/>
          <w:sz w:val="20"/>
          <w:szCs w:val="20"/>
        </w:rPr>
      </w:pPr>
      <w:r w:rsidRPr="003107CC">
        <w:rPr>
          <w:rFonts w:ascii="Arial" w:eastAsiaTheme="minorEastAsia" w:hAnsi="Arial" w:cs="Arial"/>
          <w:b/>
          <w:bCs/>
          <w:sz w:val="20"/>
          <w:szCs w:val="20"/>
        </w:rPr>
        <w:t>¿Cómo se promovió la adopción de medidas de eficiencia energética en municipios pequeños y rurales?</w:t>
      </w:r>
    </w:p>
    <w:p w14:paraId="126ED187" w14:textId="1866F677" w:rsidR="002E630B" w:rsidRPr="002E630B" w:rsidRDefault="002E630B" w:rsidP="002E630B">
      <w:pPr>
        <w:pStyle w:val="Prrafodelista"/>
        <w:jc w:val="both"/>
        <w:rPr>
          <w:rFonts w:ascii="Arial" w:eastAsiaTheme="minorEastAsia" w:hAnsi="Arial" w:cs="Arial"/>
          <w:sz w:val="20"/>
          <w:szCs w:val="20"/>
        </w:rPr>
      </w:pPr>
      <w:r w:rsidRPr="002E630B">
        <w:rPr>
          <w:rFonts w:ascii="Arial" w:eastAsiaTheme="minorEastAsia" w:hAnsi="Arial" w:cs="Arial"/>
          <w:sz w:val="20"/>
          <w:szCs w:val="20"/>
        </w:rPr>
        <w:t>Con dos programas específicos y exclusivos para municipios pequeños y rurales que son:</w:t>
      </w:r>
    </w:p>
    <w:p w14:paraId="2C9774CD" w14:textId="77777777" w:rsidR="002E630B" w:rsidRDefault="002E630B" w:rsidP="002E630B">
      <w:pPr>
        <w:pStyle w:val="Prrafodelista"/>
        <w:jc w:val="both"/>
        <w:rPr>
          <w:rFonts w:ascii="Arial" w:eastAsiaTheme="minorEastAsia" w:hAnsi="Arial" w:cs="Arial"/>
          <w:sz w:val="20"/>
          <w:szCs w:val="20"/>
          <w:highlight w:val="yellow"/>
        </w:rPr>
      </w:pPr>
    </w:p>
    <w:p w14:paraId="2119541A" w14:textId="77777777" w:rsidR="002E630B" w:rsidRDefault="002E630B" w:rsidP="002E630B">
      <w:pPr>
        <w:pStyle w:val="Prrafodelista"/>
        <w:numPr>
          <w:ilvl w:val="0"/>
          <w:numId w:val="14"/>
        </w:numPr>
        <w:spacing w:before="240" w:after="240"/>
        <w:ind w:left="1134" w:hanging="283"/>
        <w:jc w:val="both"/>
        <w:rPr>
          <w:rFonts w:ascii="Arial" w:eastAsiaTheme="minorEastAsia" w:hAnsi="Arial" w:cs="Arial"/>
          <w:sz w:val="20"/>
          <w:szCs w:val="20"/>
        </w:rPr>
      </w:pPr>
      <w:r w:rsidRPr="002E630B">
        <w:rPr>
          <w:rFonts w:ascii="Arial" w:eastAsiaTheme="minorEastAsia" w:hAnsi="Arial" w:cs="Arial"/>
          <w:sz w:val="20"/>
          <w:szCs w:val="20"/>
        </w:rPr>
        <w:t xml:space="preserve">DUS 5000 (Ayudas para inversiones a proyectos singulares locales de energía limpia en municipios de reto demográfico), dotado con un presupuesto de 675 millones de € y cuyo link con información detallada es </w:t>
      </w:r>
      <w:hyperlink r:id="rId17" w:history="1">
        <w:r w:rsidRPr="002E630B">
          <w:rPr>
            <w:rStyle w:val="Hipervnculo"/>
            <w:rFonts w:ascii="Arial" w:eastAsiaTheme="minorEastAsia" w:hAnsi="Arial" w:cs="Arial"/>
            <w:sz w:val="20"/>
            <w:szCs w:val="20"/>
          </w:rPr>
          <w:t>https://www.idae.es/ayudas-y-financiacion/programa-dus-5000-ayudas-para-inversiones-proyectos-singulares-locales-de</w:t>
        </w:r>
      </w:hyperlink>
      <w:r w:rsidRPr="002E630B">
        <w:rPr>
          <w:rFonts w:ascii="Arial" w:eastAsiaTheme="minorEastAsia" w:hAnsi="Arial" w:cs="Arial"/>
          <w:sz w:val="20"/>
          <w:szCs w:val="20"/>
        </w:rPr>
        <w:t xml:space="preserve"> </w:t>
      </w:r>
    </w:p>
    <w:p w14:paraId="275A3F06" w14:textId="77777777" w:rsidR="002E630B" w:rsidRDefault="002E630B" w:rsidP="002E630B">
      <w:pPr>
        <w:pStyle w:val="Prrafodelista"/>
        <w:spacing w:before="240" w:after="240"/>
        <w:ind w:left="1134" w:hanging="283"/>
        <w:jc w:val="both"/>
        <w:rPr>
          <w:rFonts w:ascii="Arial" w:eastAsiaTheme="minorEastAsia" w:hAnsi="Arial" w:cs="Arial"/>
          <w:sz w:val="20"/>
          <w:szCs w:val="20"/>
        </w:rPr>
      </w:pPr>
    </w:p>
    <w:p w14:paraId="35181197" w14:textId="0E44A2A3" w:rsidR="002E630B" w:rsidRPr="002E630B" w:rsidRDefault="002E630B" w:rsidP="002E630B">
      <w:pPr>
        <w:pStyle w:val="Prrafodelista"/>
        <w:numPr>
          <w:ilvl w:val="0"/>
          <w:numId w:val="14"/>
        </w:numPr>
        <w:spacing w:before="240" w:after="240"/>
        <w:ind w:left="1134" w:hanging="283"/>
        <w:jc w:val="both"/>
        <w:rPr>
          <w:rFonts w:ascii="Arial" w:eastAsiaTheme="minorEastAsia" w:hAnsi="Arial" w:cs="Arial"/>
          <w:sz w:val="20"/>
          <w:szCs w:val="20"/>
        </w:rPr>
      </w:pPr>
      <w:r w:rsidRPr="002E630B">
        <w:rPr>
          <w:rFonts w:ascii="Arial" w:eastAsiaTheme="minorEastAsia" w:hAnsi="Arial" w:cs="Arial"/>
          <w:sz w:val="20"/>
          <w:szCs w:val="20"/>
        </w:rPr>
        <w:t xml:space="preserve">PREE 5000 (Rehabilitación energética de edificios en municipios de reto demográfico), dotado con un presupuesto de 200 millones de € y cuyo link es </w:t>
      </w:r>
      <w:hyperlink r:id="rId18" w:history="1">
        <w:r w:rsidRPr="002E630B">
          <w:rPr>
            <w:rStyle w:val="Hipervnculo"/>
            <w:rFonts w:ascii="Arial" w:eastAsiaTheme="minorEastAsia" w:hAnsi="Arial" w:cs="Arial"/>
            <w:sz w:val="20"/>
            <w:szCs w:val="20"/>
          </w:rPr>
          <w:t>https://www.idae.es/ayudas-y-financiacion/para-la-rehabilitacion-de-edificios/programa-pree-5000-rehabilitacion</w:t>
        </w:r>
      </w:hyperlink>
    </w:p>
    <w:p w14:paraId="02F4D3D5" w14:textId="77777777" w:rsidR="00D34401" w:rsidRDefault="00D34401" w:rsidP="00D34401">
      <w:pPr>
        <w:pStyle w:val="Prrafodelista"/>
        <w:jc w:val="both"/>
        <w:rPr>
          <w:rFonts w:ascii="Arial" w:eastAsia="Aptos" w:hAnsi="Arial" w:cs="Arial"/>
          <w:b/>
          <w:bCs/>
          <w:sz w:val="20"/>
          <w:szCs w:val="20"/>
        </w:rPr>
      </w:pPr>
    </w:p>
    <w:p w14:paraId="7448D752" w14:textId="77777777" w:rsidR="00CC2EDD" w:rsidRPr="003107CC" w:rsidRDefault="00CC2EDD" w:rsidP="00D34401">
      <w:pPr>
        <w:pStyle w:val="Prrafodelista"/>
        <w:jc w:val="both"/>
        <w:rPr>
          <w:rFonts w:ascii="Arial" w:eastAsia="Aptos" w:hAnsi="Arial" w:cs="Arial"/>
          <w:b/>
          <w:bCs/>
          <w:sz w:val="20"/>
          <w:szCs w:val="20"/>
        </w:rPr>
      </w:pPr>
    </w:p>
    <w:p w14:paraId="60AFE8D4" w14:textId="36E269C8" w:rsidR="7E3BC97D" w:rsidRPr="003107CC" w:rsidRDefault="7E3BC97D" w:rsidP="2E0AAB0A">
      <w:pPr>
        <w:pStyle w:val="Prrafodelista"/>
        <w:numPr>
          <w:ilvl w:val="0"/>
          <w:numId w:val="4"/>
        </w:numPr>
        <w:jc w:val="both"/>
        <w:rPr>
          <w:rFonts w:ascii="Arial" w:eastAsia="Aptos" w:hAnsi="Arial" w:cs="Arial"/>
          <w:b/>
          <w:bCs/>
          <w:sz w:val="20"/>
          <w:szCs w:val="20"/>
        </w:rPr>
      </w:pPr>
      <w:commentRangeStart w:id="8"/>
      <w:r w:rsidRPr="003107CC">
        <w:rPr>
          <w:rFonts w:ascii="Arial" w:eastAsiaTheme="minorEastAsia" w:hAnsi="Arial" w:cs="Arial"/>
          <w:b/>
          <w:bCs/>
          <w:sz w:val="20"/>
          <w:szCs w:val="20"/>
        </w:rPr>
        <w:t>¿Qué estrategias utilizaron para promover la eficiencia energética en comunidades vulnerables o en riesgo de pobreza energética?</w:t>
      </w:r>
      <w:commentRangeEnd w:id="8"/>
      <w:r w:rsidR="00A26BC8" w:rsidRPr="003107CC">
        <w:rPr>
          <w:rStyle w:val="Refdecomentario"/>
          <w:rFonts w:ascii="Arial" w:eastAsia="Aptos" w:hAnsi="Arial" w:cs="Arial"/>
          <w:b/>
          <w:bCs/>
          <w:sz w:val="20"/>
          <w:szCs w:val="20"/>
        </w:rPr>
        <w:commentReference w:id="8"/>
      </w:r>
    </w:p>
    <w:p w14:paraId="0CC1C267" w14:textId="77777777" w:rsidR="005B6F71" w:rsidRDefault="005B6F71" w:rsidP="005B6F71">
      <w:pPr>
        <w:pStyle w:val="Prrafodelista"/>
        <w:jc w:val="both"/>
        <w:rPr>
          <w:rFonts w:ascii="Arial" w:eastAsiaTheme="minorEastAsia" w:hAnsi="Arial" w:cs="Arial"/>
          <w:sz w:val="20"/>
          <w:szCs w:val="20"/>
        </w:rPr>
      </w:pPr>
    </w:p>
    <w:p w14:paraId="3F2E64D4" w14:textId="6D60F1DA" w:rsidR="7E3BC97D" w:rsidRPr="003107CC" w:rsidRDefault="7E3BC97D" w:rsidP="00055FC1">
      <w:pPr>
        <w:numPr>
          <w:ilvl w:val="0"/>
          <w:numId w:val="4"/>
        </w:numPr>
        <w:ind w:left="714" w:hanging="357"/>
        <w:jc w:val="both"/>
        <w:rPr>
          <w:rFonts w:ascii="Arial" w:eastAsiaTheme="minorEastAsia" w:hAnsi="Arial" w:cs="Arial"/>
          <w:b/>
          <w:bCs/>
          <w:sz w:val="20"/>
          <w:szCs w:val="20"/>
        </w:rPr>
      </w:pPr>
      <w:r w:rsidRPr="003107CC">
        <w:rPr>
          <w:rFonts w:ascii="Arial" w:eastAsia="Aptos" w:hAnsi="Arial" w:cs="Arial"/>
          <w:b/>
          <w:bCs/>
          <w:sz w:val="20"/>
          <w:szCs w:val="20"/>
        </w:rPr>
        <w:t>¿</w:t>
      </w:r>
      <w:r w:rsidRPr="003107CC">
        <w:rPr>
          <w:rFonts w:ascii="Arial" w:eastAsiaTheme="minorEastAsia" w:hAnsi="Arial" w:cs="Arial"/>
          <w:b/>
          <w:bCs/>
          <w:sz w:val="20"/>
          <w:szCs w:val="20"/>
        </w:rPr>
        <w:t>Qué papel han jugado los programas MOVALT y MOVES en la expansión de la infraestructura de recarga para vehículos eléctricos?</w:t>
      </w:r>
    </w:p>
    <w:p w14:paraId="742166FA" w14:textId="05E49E20" w:rsidR="00055FC1" w:rsidRDefault="00055FC1" w:rsidP="00055FC1">
      <w:pPr>
        <w:pStyle w:val="Prrafodelista"/>
        <w:jc w:val="both"/>
        <w:rPr>
          <w:rFonts w:ascii="Arial" w:eastAsiaTheme="minorEastAsia" w:hAnsi="Arial" w:cs="Arial"/>
          <w:sz w:val="20"/>
          <w:szCs w:val="20"/>
        </w:rPr>
      </w:pPr>
      <w:r w:rsidRPr="00055FC1">
        <w:rPr>
          <w:rFonts w:ascii="Arial" w:eastAsiaTheme="minorEastAsia" w:hAnsi="Arial" w:cs="Arial"/>
          <w:sz w:val="20"/>
          <w:szCs w:val="20"/>
        </w:rPr>
        <w:t>Los programas MOVALT y MOVES han supuesto mantener incentivos al despliegue de recarga durante 7 años, que han supuesto un avance importante en la recarga de acceso público y la recarga privada. En recarga de acceso público, que es de la que tenemos registros, contamos actualmente en España con más de 43.000 puntos de recarga, con un ritmo de instalación, en este último año, 2024 de unos 1.000 puntos de recarga /mes.</w:t>
      </w:r>
    </w:p>
    <w:p w14:paraId="552C7F74" w14:textId="77777777" w:rsidR="00055FC1" w:rsidRDefault="00055FC1" w:rsidP="00055FC1">
      <w:pPr>
        <w:pStyle w:val="Prrafodelista"/>
        <w:jc w:val="both"/>
        <w:rPr>
          <w:rFonts w:ascii="Arial" w:eastAsiaTheme="minorEastAsia" w:hAnsi="Arial" w:cs="Arial"/>
          <w:sz w:val="20"/>
          <w:szCs w:val="20"/>
        </w:rPr>
      </w:pPr>
    </w:p>
    <w:p w14:paraId="2E7534DB" w14:textId="77777777" w:rsidR="00CC2EDD" w:rsidRPr="00055FC1" w:rsidRDefault="00CC2EDD" w:rsidP="00055FC1">
      <w:pPr>
        <w:pStyle w:val="Prrafodelista"/>
        <w:jc w:val="both"/>
        <w:rPr>
          <w:rFonts w:ascii="Arial" w:eastAsiaTheme="minorEastAsia" w:hAnsi="Arial" w:cs="Arial"/>
          <w:sz w:val="20"/>
          <w:szCs w:val="20"/>
        </w:rPr>
      </w:pPr>
    </w:p>
    <w:p w14:paraId="6EF944FD" w14:textId="1D7D93C4" w:rsidR="7E3BC97D" w:rsidRPr="003107CC" w:rsidRDefault="7E3BC97D" w:rsidP="00055FC1">
      <w:pPr>
        <w:pStyle w:val="Prrafodelista"/>
        <w:numPr>
          <w:ilvl w:val="0"/>
          <w:numId w:val="4"/>
        </w:numPr>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lastRenderedPageBreak/>
        <w:t>¿Cómo se definieron los criterios de selección y priorización de proyectos en estos programas?</w:t>
      </w:r>
    </w:p>
    <w:p w14:paraId="6AC5EE14" w14:textId="77777777" w:rsidR="00055FC1" w:rsidRPr="00055FC1" w:rsidRDefault="00055FC1" w:rsidP="00055FC1">
      <w:pPr>
        <w:pStyle w:val="Prrafodelista"/>
        <w:spacing w:after="0" w:line="240" w:lineRule="auto"/>
        <w:jc w:val="both"/>
        <w:rPr>
          <w:rFonts w:ascii="Arial" w:eastAsiaTheme="minorEastAsia" w:hAnsi="Arial" w:cs="Arial"/>
          <w:sz w:val="20"/>
          <w:szCs w:val="20"/>
        </w:rPr>
      </w:pPr>
      <w:r w:rsidRPr="00055FC1">
        <w:rPr>
          <w:rFonts w:ascii="Arial" w:eastAsiaTheme="minorEastAsia" w:hAnsi="Arial" w:cs="Arial"/>
          <w:sz w:val="20"/>
          <w:szCs w:val="20"/>
        </w:rPr>
        <w:t>Estos programas se han publicado en concurrencia simple, no competitiva, por lo que el único criterio de priorización es la fecha de registro de la solicitud.</w:t>
      </w:r>
    </w:p>
    <w:p w14:paraId="0945D4F7" w14:textId="77777777" w:rsidR="00055FC1" w:rsidRDefault="00055FC1" w:rsidP="00055FC1">
      <w:pPr>
        <w:pStyle w:val="Prrafodelista"/>
        <w:jc w:val="both"/>
        <w:rPr>
          <w:rFonts w:ascii="Arial" w:eastAsiaTheme="minorEastAsia" w:hAnsi="Arial" w:cs="Arial"/>
          <w:sz w:val="20"/>
          <w:szCs w:val="20"/>
          <w:lang w:val="es-ES"/>
        </w:rPr>
      </w:pPr>
    </w:p>
    <w:p w14:paraId="0D8DC41A" w14:textId="77777777" w:rsidR="00CC2EDD" w:rsidRPr="00055FC1" w:rsidRDefault="00CC2EDD" w:rsidP="00055FC1">
      <w:pPr>
        <w:pStyle w:val="Prrafodelista"/>
        <w:jc w:val="both"/>
        <w:rPr>
          <w:rFonts w:ascii="Arial" w:eastAsiaTheme="minorEastAsia" w:hAnsi="Arial" w:cs="Arial"/>
          <w:sz w:val="20"/>
          <w:szCs w:val="20"/>
          <w:lang w:val="es-ES"/>
        </w:rPr>
      </w:pPr>
    </w:p>
    <w:p w14:paraId="006CB7F6" w14:textId="643657E9" w:rsidR="7E3BC97D" w:rsidRPr="003107CC" w:rsidRDefault="7E3BC97D" w:rsidP="00055FC1">
      <w:pPr>
        <w:pStyle w:val="Prrafodelista"/>
        <w:numPr>
          <w:ilvl w:val="0"/>
          <w:numId w:val="4"/>
        </w:numPr>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mecanismos se usaron para asegurar la equidad territorial en el despliegue de infraestructura?</w:t>
      </w:r>
    </w:p>
    <w:p w14:paraId="29052BDC" w14:textId="77777777" w:rsidR="00055FC1" w:rsidRPr="00055FC1" w:rsidRDefault="00055FC1" w:rsidP="00055FC1">
      <w:pPr>
        <w:pStyle w:val="Prrafodelista"/>
        <w:spacing w:after="0" w:line="240" w:lineRule="auto"/>
        <w:jc w:val="both"/>
        <w:rPr>
          <w:rFonts w:ascii="Arial" w:eastAsiaTheme="minorEastAsia" w:hAnsi="Arial" w:cs="Arial"/>
          <w:sz w:val="20"/>
          <w:szCs w:val="20"/>
        </w:rPr>
      </w:pPr>
      <w:r w:rsidRPr="00055FC1">
        <w:rPr>
          <w:rFonts w:ascii="Arial" w:eastAsiaTheme="minorEastAsia" w:hAnsi="Arial" w:cs="Arial"/>
          <w:sz w:val="20"/>
          <w:szCs w:val="20"/>
        </w:rPr>
        <w:t>Los programas MOVES son programas que se gestionan de manera territorializada, con un reparto del presupuesto inicial en base al nº de habitantes, según Padrón de habitantes del Instituto Nacional de Estadística.</w:t>
      </w:r>
    </w:p>
    <w:p w14:paraId="5691387C" w14:textId="77777777" w:rsidR="00055FC1" w:rsidRPr="00055FC1" w:rsidRDefault="00055FC1" w:rsidP="00055FC1">
      <w:pPr>
        <w:pStyle w:val="Prrafodelista"/>
        <w:jc w:val="both"/>
        <w:rPr>
          <w:rFonts w:ascii="Arial" w:eastAsiaTheme="minorEastAsia" w:hAnsi="Arial" w:cs="Arial"/>
          <w:sz w:val="20"/>
          <w:szCs w:val="20"/>
          <w:lang w:val="es-ES"/>
        </w:rPr>
      </w:pPr>
    </w:p>
    <w:p w14:paraId="4DF5559C" w14:textId="4F00C2DE" w:rsidR="7E3BC97D" w:rsidRPr="003107CC" w:rsidRDefault="7E3BC97D" w:rsidP="2E0AAB0A">
      <w:pPr>
        <w:numPr>
          <w:ilvl w:val="0"/>
          <w:numId w:val="4"/>
        </w:numPr>
        <w:jc w:val="both"/>
        <w:rPr>
          <w:rFonts w:ascii="Arial" w:eastAsiaTheme="minorEastAsia" w:hAnsi="Arial" w:cs="Arial"/>
          <w:b/>
          <w:bCs/>
          <w:sz w:val="20"/>
          <w:szCs w:val="20"/>
        </w:rPr>
      </w:pPr>
      <w:r w:rsidRPr="003107CC">
        <w:rPr>
          <w:rFonts w:ascii="Arial" w:eastAsia="Aptos" w:hAnsi="Arial" w:cs="Arial"/>
          <w:b/>
          <w:bCs/>
          <w:sz w:val="20"/>
          <w:szCs w:val="20"/>
        </w:rPr>
        <w:t>¿</w:t>
      </w:r>
      <w:r w:rsidRPr="003107CC">
        <w:rPr>
          <w:rFonts w:ascii="Arial" w:eastAsiaTheme="minorEastAsia" w:hAnsi="Arial" w:cs="Arial"/>
          <w:b/>
          <w:bCs/>
          <w:sz w:val="20"/>
          <w:szCs w:val="20"/>
        </w:rPr>
        <w:t>Qué estrategias de comunicación y formación han sido más eficaces para aumentar la conciencia ciudadana y empresarial?</w:t>
      </w:r>
    </w:p>
    <w:p w14:paraId="71897C53" w14:textId="3155EC8B" w:rsidR="008F0D5A" w:rsidRDefault="00D9194D" w:rsidP="00D9194D">
      <w:pPr>
        <w:ind w:left="720"/>
        <w:jc w:val="both"/>
        <w:rPr>
          <w:rFonts w:ascii="Arial" w:eastAsiaTheme="minorEastAsia" w:hAnsi="Arial" w:cs="Arial"/>
          <w:sz w:val="20"/>
          <w:szCs w:val="20"/>
        </w:rPr>
      </w:pPr>
      <w:r>
        <w:rPr>
          <w:rFonts w:ascii="Arial" w:eastAsiaTheme="minorEastAsia" w:hAnsi="Arial" w:cs="Arial"/>
          <w:sz w:val="20"/>
          <w:szCs w:val="20"/>
        </w:rPr>
        <w:t>La estrategia principal es la de utilizar el mayor número posible de medios de comunicación (televisión, radio, periódicos, vallas publicitarias, etc…) y redes sociales (</w:t>
      </w:r>
      <w:r w:rsidRPr="00D9194D">
        <w:rPr>
          <w:rFonts w:ascii="Arial" w:eastAsiaTheme="minorEastAsia" w:hAnsi="Arial" w:cs="Arial"/>
          <w:sz w:val="20"/>
          <w:szCs w:val="20"/>
        </w:rPr>
        <w:t>LinkedIn</w:t>
      </w:r>
      <w:r>
        <w:rPr>
          <w:rFonts w:ascii="Arial" w:eastAsiaTheme="minorEastAsia" w:hAnsi="Arial" w:cs="Arial"/>
          <w:sz w:val="20"/>
          <w:szCs w:val="20"/>
        </w:rPr>
        <w:t xml:space="preserve">, </w:t>
      </w:r>
      <w:r w:rsidRPr="00D9194D">
        <w:rPr>
          <w:rFonts w:ascii="Arial" w:eastAsiaTheme="minorEastAsia" w:hAnsi="Arial" w:cs="Arial"/>
          <w:sz w:val="20"/>
          <w:szCs w:val="20"/>
        </w:rPr>
        <w:t>Youtube</w:t>
      </w:r>
      <w:r>
        <w:rPr>
          <w:rFonts w:ascii="Arial" w:eastAsiaTheme="minorEastAsia" w:hAnsi="Arial" w:cs="Arial"/>
          <w:sz w:val="20"/>
          <w:szCs w:val="20"/>
        </w:rPr>
        <w:t xml:space="preserve">, </w:t>
      </w:r>
      <w:r w:rsidRPr="00D9194D">
        <w:rPr>
          <w:rFonts w:ascii="Arial" w:eastAsiaTheme="minorEastAsia" w:hAnsi="Arial" w:cs="Arial"/>
          <w:sz w:val="20"/>
          <w:szCs w:val="20"/>
        </w:rPr>
        <w:t>Instagram</w:t>
      </w:r>
      <w:r>
        <w:rPr>
          <w:rFonts w:ascii="Arial" w:eastAsiaTheme="minorEastAsia" w:hAnsi="Arial" w:cs="Arial"/>
          <w:sz w:val="20"/>
          <w:szCs w:val="20"/>
        </w:rPr>
        <w:t xml:space="preserve">, </w:t>
      </w:r>
      <w:r w:rsidRPr="00D9194D">
        <w:rPr>
          <w:rFonts w:ascii="Arial" w:eastAsiaTheme="minorEastAsia" w:hAnsi="Arial" w:cs="Arial"/>
          <w:sz w:val="20"/>
          <w:szCs w:val="20"/>
          <w:lang w:val="es-ES"/>
        </w:rPr>
        <w:t>Facebook</w:t>
      </w:r>
      <w:r>
        <w:rPr>
          <w:rFonts w:ascii="Arial" w:eastAsiaTheme="minorEastAsia" w:hAnsi="Arial" w:cs="Arial"/>
          <w:sz w:val="20"/>
          <w:szCs w:val="20"/>
          <w:lang w:val="es-ES"/>
        </w:rPr>
        <w:t xml:space="preserve"> y </w:t>
      </w:r>
      <w:r w:rsidRPr="00D9194D">
        <w:rPr>
          <w:rFonts w:ascii="Arial" w:eastAsiaTheme="minorEastAsia" w:hAnsi="Arial" w:cs="Arial"/>
          <w:sz w:val="20"/>
          <w:szCs w:val="20"/>
        </w:rPr>
        <w:t>Bluesky</w:t>
      </w:r>
      <w:r>
        <w:rPr>
          <w:rFonts w:ascii="Arial" w:eastAsiaTheme="minorEastAsia" w:hAnsi="Arial" w:cs="Arial"/>
          <w:sz w:val="20"/>
          <w:szCs w:val="20"/>
        </w:rPr>
        <w:t xml:space="preserve">) para llegar al mayor número de personas y de todas las edades. Además, se utilizan Newsletters periódicas, webinars y notas de prensa, y la realización de campañas de comunicación puntuales que cubran todo el país. </w:t>
      </w:r>
      <w:r w:rsidRPr="00D9194D">
        <w:rPr>
          <w:rFonts w:ascii="Arial" w:eastAsiaTheme="minorEastAsia" w:hAnsi="Arial" w:cs="Arial"/>
          <w:sz w:val="20"/>
          <w:szCs w:val="20"/>
        </w:rPr>
        <w:t xml:space="preserve">El </w:t>
      </w:r>
      <w:r>
        <w:rPr>
          <w:rFonts w:ascii="Arial" w:eastAsiaTheme="minorEastAsia" w:hAnsi="Arial" w:cs="Arial"/>
          <w:sz w:val="20"/>
          <w:szCs w:val="20"/>
        </w:rPr>
        <w:t>IDAE</w:t>
      </w:r>
      <w:r w:rsidRPr="00D9194D">
        <w:rPr>
          <w:rFonts w:ascii="Arial" w:eastAsiaTheme="minorEastAsia" w:hAnsi="Arial" w:cs="Arial"/>
          <w:sz w:val="20"/>
          <w:szCs w:val="20"/>
        </w:rPr>
        <w:t xml:space="preserve"> lanza de forma periódica campañas publicitarias de sensibilización dirigidas a la ciudadanía</w:t>
      </w:r>
      <w:r>
        <w:rPr>
          <w:rFonts w:ascii="Arial" w:eastAsiaTheme="minorEastAsia" w:hAnsi="Arial" w:cs="Arial"/>
          <w:sz w:val="20"/>
          <w:szCs w:val="20"/>
        </w:rPr>
        <w:t xml:space="preserve">. Para ver algunos ejemplos se puede visitar el siguiente link: </w:t>
      </w:r>
      <w:hyperlink r:id="rId19" w:history="1">
        <w:r w:rsidRPr="00654D07">
          <w:rPr>
            <w:rStyle w:val="Hipervnculo"/>
            <w:rFonts w:ascii="Arial" w:eastAsiaTheme="minorEastAsia" w:hAnsi="Arial" w:cs="Arial"/>
            <w:sz w:val="20"/>
            <w:szCs w:val="20"/>
          </w:rPr>
          <w:t>https://www.idae.es/informacion-y-publicaciones/campanas-y-acciones-de-comunicacion</w:t>
        </w:r>
      </w:hyperlink>
      <w:r>
        <w:rPr>
          <w:rFonts w:ascii="Arial" w:eastAsiaTheme="minorEastAsia" w:hAnsi="Arial" w:cs="Arial"/>
          <w:sz w:val="20"/>
          <w:szCs w:val="20"/>
        </w:rPr>
        <w:t xml:space="preserve"> </w:t>
      </w:r>
    </w:p>
    <w:p w14:paraId="5CB0008B" w14:textId="18777D4F" w:rsidR="7E3BC97D" w:rsidRPr="003107CC" w:rsidRDefault="7E3BC97D" w:rsidP="00F91DA7">
      <w:pPr>
        <w:pStyle w:val="Prrafodelista"/>
        <w:numPr>
          <w:ilvl w:val="0"/>
          <w:numId w:val="4"/>
        </w:numPr>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¿Cómo integraron los principios de transición justa en sus políticas de eficiencia energética?</w:t>
      </w:r>
    </w:p>
    <w:p w14:paraId="66E7A3C0" w14:textId="62C899A4" w:rsidR="00F91DA7" w:rsidRDefault="00F91DA7" w:rsidP="00F91DA7">
      <w:pPr>
        <w:pStyle w:val="Prrafodelista"/>
        <w:jc w:val="both"/>
        <w:rPr>
          <w:rFonts w:ascii="Arial" w:eastAsia="Aptos" w:hAnsi="Arial" w:cs="Arial"/>
          <w:sz w:val="20"/>
          <w:szCs w:val="20"/>
        </w:rPr>
      </w:pPr>
      <w:r>
        <w:rPr>
          <w:rFonts w:ascii="Arial" w:eastAsia="Aptos" w:hAnsi="Arial" w:cs="Arial"/>
          <w:sz w:val="20"/>
          <w:szCs w:val="20"/>
        </w:rPr>
        <w:t xml:space="preserve">La transición justa se vincula directamente con los conceptos de pobreza energética y vulnerables. </w:t>
      </w:r>
      <w:r w:rsidRPr="00F91DA7">
        <w:rPr>
          <w:rFonts w:ascii="Arial" w:eastAsia="Aptos" w:hAnsi="Arial" w:cs="Arial"/>
          <w:sz w:val="20"/>
          <w:szCs w:val="20"/>
        </w:rPr>
        <w:t>La pobreza energética es un concepto clave en el paquete de medidas «Energía limpia para todos los europeos», que está diseñado para facilitar una transición energética justa. Con arreglo al Reglamento (UE) 2018/1999 y a la Directiva (UE) 2019/944 del Parlamento Europeo y del Consejo (10), la Comisión, en su Recomendación (UE) 2020/1563 sobre la pobreza energética (11) proporcionó orientaciones indicativas sobre los indicadores adecuados para medir la pobreza energética y definir un «número importante de hogares en situación de pobreza energética». La Directiva 2009/73/CE del Parlamento Europeo y del Consejo (12) y la Directiva (UE) 2019/944 exigen a los Estados miembros que adopten las medidas adecuadas para atajar la pobreza energética donde se haya constatado, también en el contexto más amplio de la pobreza en general. Esto es especialmente pertinente en un contexto de alza de los precios de la energía y presión inflacionista, en el que deben aplicarse medidas a corto y largo plazo para hacer frente a desafíos sistémicos para el sistema energético de la Unión.</w:t>
      </w:r>
    </w:p>
    <w:p w14:paraId="5F81FB01" w14:textId="77777777" w:rsidR="00F91DA7" w:rsidRDefault="00F91DA7" w:rsidP="00F91DA7">
      <w:pPr>
        <w:pStyle w:val="Prrafodelista"/>
        <w:jc w:val="both"/>
        <w:rPr>
          <w:rFonts w:ascii="Arial" w:eastAsia="Aptos" w:hAnsi="Arial" w:cs="Arial"/>
          <w:sz w:val="20"/>
          <w:szCs w:val="20"/>
        </w:rPr>
      </w:pPr>
    </w:p>
    <w:p w14:paraId="188731AD" w14:textId="77777777" w:rsidR="00F91DA7" w:rsidRDefault="00F91DA7" w:rsidP="00F91DA7">
      <w:pPr>
        <w:pStyle w:val="Prrafodelista"/>
        <w:jc w:val="both"/>
        <w:rPr>
          <w:rFonts w:ascii="Arial" w:eastAsia="Aptos" w:hAnsi="Arial" w:cs="Arial"/>
          <w:sz w:val="20"/>
          <w:szCs w:val="20"/>
        </w:rPr>
      </w:pPr>
      <w:r w:rsidRPr="00F91DA7">
        <w:rPr>
          <w:rFonts w:ascii="Arial" w:eastAsia="Aptos" w:hAnsi="Arial" w:cs="Arial"/>
          <w:sz w:val="20"/>
          <w:szCs w:val="20"/>
        </w:rPr>
        <w:t xml:space="preserve">Las personas que sufren pobreza energética o corren el riesgo de caer en ella, los clientes vulnerables, incluidos los usuarios finales, los hogares de renta baja y media, y las personas que viven en viviendas sociales deben beneficiarse de la aplicación del principio de «primero, </w:t>
      </w:r>
      <w:r w:rsidRPr="00F91DA7">
        <w:rPr>
          <w:rFonts w:ascii="Arial" w:eastAsia="Aptos" w:hAnsi="Arial" w:cs="Arial"/>
          <w:sz w:val="20"/>
          <w:szCs w:val="20"/>
        </w:rPr>
        <w:lastRenderedPageBreak/>
        <w:t>la eficiencia energética». Las medidas de eficiencia energética deben aplicarse con carácter prioritario cuando puedan mejorar la situación de esas personas y hogares y para reducir la pobreza energética, y no deben fomentar en ningún caso el aumento desproporcionado de los costes de la vivienda, la movilidad o la energía. Para que la elaboración de políticas y la aplicación de políticas y medidas tenga un enfoque holístico, los Estados miembros deben velar por que ninguna otra política o medida tenga efectos adversos para esas personas y hogares.</w:t>
      </w:r>
    </w:p>
    <w:p w14:paraId="15898B4C" w14:textId="77777777" w:rsidR="00F91DA7" w:rsidRDefault="00F91DA7" w:rsidP="00F91DA7">
      <w:pPr>
        <w:pStyle w:val="Prrafodelista"/>
        <w:jc w:val="both"/>
        <w:rPr>
          <w:rFonts w:ascii="Arial" w:eastAsia="Aptos" w:hAnsi="Arial" w:cs="Arial"/>
          <w:sz w:val="20"/>
          <w:szCs w:val="20"/>
        </w:rPr>
      </w:pPr>
    </w:p>
    <w:p w14:paraId="58B1A718" w14:textId="6557B0B6" w:rsidR="00F91DA7" w:rsidRDefault="00F91DA7" w:rsidP="00F91DA7">
      <w:pPr>
        <w:pStyle w:val="Prrafodelista"/>
        <w:jc w:val="both"/>
        <w:rPr>
          <w:rFonts w:ascii="Arial" w:eastAsiaTheme="minorEastAsia" w:hAnsi="Arial" w:cs="Arial"/>
          <w:sz w:val="20"/>
          <w:szCs w:val="20"/>
        </w:rPr>
      </w:pPr>
      <w:r>
        <w:rPr>
          <w:rFonts w:ascii="Arial" w:eastAsiaTheme="minorEastAsia" w:hAnsi="Arial" w:cs="Arial"/>
          <w:sz w:val="20"/>
          <w:szCs w:val="20"/>
        </w:rPr>
        <w:t xml:space="preserve">La Directiva de Eficiencia Energética en vigor, </w:t>
      </w:r>
      <w:r w:rsidRPr="005B6F71">
        <w:rPr>
          <w:rFonts w:ascii="Arial" w:eastAsiaTheme="minorEastAsia" w:hAnsi="Arial" w:cs="Arial"/>
          <w:sz w:val="20"/>
          <w:szCs w:val="20"/>
        </w:rPr>
        <w:t>Directiva (UE) 2023/1791</w:t>
      </w:r>
      <w:r>
        <w:rPr>
          <w:rFonts w:ascii="Arial" w:eastAsiaTheme="minorEastAsia" w:hAnsi="Arial" w:cs="Arial"/>
          <w:sz w:val="20"/>
          <w:szCs w:val="20"/>
        </w:rPr>
        <w:t xml:space="preserve"> (</w:t>
      </w:r>
      <w:hyperlink r:id="rId20" w:history="1">
        <w:r w:rsidRPr="008B6996">
          <w:rPr>
            <w:rStyle w:val="Hipervnculo"/>
            <w:rFonts w:ascii="Arial" w:eastAsiaTheme="minorEastAsia" w:hAnsi="Arial" w:cs="Arial"/>
            <w:sz w:val="20"/>
            <w:szCs w:val="20"/>
          </w:rPr>
          <w:t>https://www.boe.es/buscar/doc.php?id=DOUE-L-2023-81299</w:t>
        </w:r>
      </w:hyperlink>
      <w:r>
        <w:rPr>
          <w:rFonts w:ascii="Arial" w:eastAsiaTheme="minorEastAsia" w:hAnsi="Arial" w:cs="Arial"/>
          <w:sz w:val="20"/>
          <w:szCs w:val="20"/>
        </w:rPr>
        <w:t>) , tiene artículos como el 7, el 8 y el 20, que expresamente mencionan objetivos y consideraciones sobre la pobreza energética y comunidades vulnerables. Estos objetivos se transponen al ordenamiento jurídico español y se trasladan a los distintos programas de ayudas que puedan desarrollarse, de tal manera que siempre los programas de ayudas, aunque sean generales, tendrán un apartado o consideración a grupos vulnerables o para disminuir o paliar la pobreza energética. Os sugerimos en el link anterior de la Directiva realizar una búsqueda por palabras de las siguientes palabras: “pobreza” y “vulnerables” y de esta manera iréis viendo cómo se considera y las estrategias que se pueden desplegar para disminuir la pobreza energética y favorecer a los más vulnerables para tener una transición energética justa.</w:t>
      </w:r>
    </w:p>
    <w:p w14:paraId="2D13E32E" w14:textId="77777777" w:rsidR="003107CC" w:rsidRDefault="003107CC" w:rsidP="00F91DA7">
      <w:pPr>
        <w:pStyle w:val="Prrafodelista"/>
        <w:jc w:val="both"/>
        <w:rPr>
          <w:rFonts w:ascii="Arial" w:eastAsiaTheme="minorEastAsia" w:hAnsi="Arial" w:cs="Arial"/>
          <w:sz w:val="20"/>
          <w:szCs w:val="20"/>
        </w:rPr>
      </w:pPr>
    </w:p>
    <w:p w14:paraId="4D159228" w14:textId="77777777" w:rsidR="003107CC" w:rsidRDefault="003107CC" w:rsidP="00F91DA7">
      <w:pPr>
        <w:pStyle w:val="Prrafodelista"/>
        <w:jc w:val="both"/>
        <w:rPr>
          <w:rFonts w:ascii="Arial" w:eastAsiaTheme="minorEastAsia" w:hAnsi="Arial" w:cs="Arial"/>
          <w:sz w:val="20"/>
          <w:szCs w:val="20"/>
        </w:rPr>
      </w:pPr>
    </w:p>
    <w:p w14:paraId="33F55C6D" w14:textId="77777777" w:rsidR="00F91DA7" w:rsidRDefault="00F91DA7" w:rsidP="00F91DA7">
      <w:pPr>
        <w:pStyle w:val="Prrafodelista"/>
        <w:jc w:val="both"/>
        <w:rPr>
          <w:rFonts w:ascii="Arial" w:eastAsiaTheme="minorEastAsia" w:hAnsi="Arial" w:cs="Arial"/>
          <w:sz w:val="20"/>
          <w:szCs w:val="20"/>
        </w:rPr>
      </w:pPr>
    </w:p>
    <w:p w14:paraId="518917F6" w14:textId="31F31191" w:rsidR="7E3BC97D" w:rsidRPr="003107CC" w:rsidRDefault="7E3BC97D" w:rsidP="00DA3B71">
      <w:pPr>
        <w:pStyle w:val="Prrafodelista"/>
        <w:numPr>
          <w:ilvl w:val="0"/>
          <w:numId w:val="4"/>
        </w:numPr>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sinergias encontraron entre eficiencia energética, energías renovables y digitalización?</w:t>
      </w:r>
    </w:p>
    <w:p w14:paraId="5AC2E23D" w14:textId="373134BB" w:rsidR="0049603F" w:rsidRDefault="0049603F" w:rsidP="0049603F">
      <w:pPr>
        <w:pStyle w:val="Prrafodelista"/>
        <w:jc w:val="both"/>
        <w:rPr>
          <w:rFonts w:ascii="Arial" w:eastAsiaTheme="minorEastAsia" w:hAnsi="Arial" w:cs="Arial"/>
          <w:sz w:val="20"/>
          <w:szCs w:val="20"/>
        </w:rPr>
      </w:pPr>
      <w:r>
        <w:rPr>
          <w:rFonts w:ascii="Arial" w:eastAsiaTheme="minorEastAsia" w:hAnsi="Arial" w:cs="Arial"/>
          <w:sz w:val="20"/>
          <w:szCs w:val="20"/>
        </w:rPr>
        <w:t>Realizar proyectos de energía que integren energías renovables y eficiencia energética permiten aunar dos objetivos fundamentales en nuestras políticas energéticas: la disminución del consumo de energía primaria y de energía final. Para la reducción de energía primaria las renovables son la clave y para la reducción de</w:t>
      </w:r>
      <w:r w:rsidR="00DA3B71">
        <w:rPr>
          <w:rFonts w:ascii="Arial" w:eastAsiaTheme="minorEastAsia" w:hAnsi="Arial" w:cs="Arial"/>
          <w:sz w:val="20"/>
          <w:szCs w:val="20"/>
        </w:rPr>
        <w:t xml:space="preserve"> energía final la eficiencia es la clave. La optimización de proyectos que se realizan con renovables y eficiencia energética se realiza a través de sistemas de control (digitales) que permiten monitorizar los consumos de energía y encontrar los puntos del sistema donde pueden mejorarse y disminuir los consumos utilizando alternativas energéticas más verdes. La suma de renovables y eficiencia energética en un mismo proyecto permite hacer proyectos de mayor valor añadido y mejorar conjuntamente su eficiencia.</w:t>
      </w:r>
    </w:p>
    <w:p w14:paraId="1E751FE9" w14:textId="77777777" w:rsidR="003107CC" w:rsidRPr="00EC61BC" w:rsidRDefault="003107CC" w:rsidP="0049603F">
      <w:pPr>
        <w:pStyle w:val="Prrafodelista"/>
        <w:jc w:val="both"/>
        <w:rPr>
          <w:rFonts w:ascii="Arial" w:eastAsiaTheme="minorEastAsia" w:hAnsi="Arial" w:cs="Arial"/>
          <w:sz w:val="20"/>
          <w:szCs w:val="20"/>
        </w:rPr>
      </w:pPr>
    </w:p>
    <w:p w14:paraId="6F0698E4" w14:textId="3F2FE364" w:rsidR="4D27E677" w:rsidRPr="003107CC" w:rsidRDefault="4D27E677" w:rsidP="2E0AAB0A">
      <w:pPr>
        <w:numPr>
          <w:ilvl w:val="0"/>
          <w:numId w:val="4"/>
        </w:numPr>
        <w:jc w:val="both"/>
        <w:rPr>
          <w:rFonts w:ascii="Arial" w:eastAsiaTheme="minorEastAsia" w:hAnsi="Arial" w:cs="Arial"/>
          <w:b/>
          <w:bCs/>
          <w:sz w:val="20"/>
          <w:szCs w:val="20"/>
        </w:rPr>
      </w:pPr>
      <w:r w:rsidRPr="003107CC">
        <w:rPr>
          <w:rFonts w:ascii="Arial" w:eastAsiaTheme="minorEastAsia" w:hAnsi="Arial" w:cs="Arial"/>
          <w:b/>
          <w:bCs/>
          <w:sz w:val="20"/>
          <w:szCs w:val="20"/>
        </w:rPr>
        <w:t>¿Cuál ha sido el impacto más significativo del MOVES III en el despliegue de vehículos eléctricos e infraestructura de recarga?</w:t>
      </w:r>
    </w:p>
    <w:p w14:paraId="1D84E505" w14:textId="4F1353F8" w:rsidR="00713E44" w:rsidRDefault="00713E44" w:rsidP="00713E44">
      <w:pPr>
        <w:ind w:left="720"/>
        <w:jc w:val="both"/>
        <w:rPr>
          <w:rFonts w:ascii="Arial" w:eastAsiaTheme="minorEastAsia" w:hAnsi="Arial" w:cs="Arial"/>
          <w:sz w:val="20"/>
          <w:szCs w:val="20"/>
        </w:rPr>
      </w:pPr>
      <w:r w:rsidRPr="00055FC1">
        <w:rPr>
          <w:rFonts w:ascii="Arial" w:eastAsiaTheme="minorEastAsia" w:hAnsi="Arial" w:cs="Arial"/>
          <w:sz w:val="20"/>
          <w:szCs w:val="20"/>
        </w:rPr>
        <w:t>El Plan MOVES III, que ha sido uno de los pilares de la transición hacia la movilidad sostenible en España, ha permitido un impulso significativo en la compra de vehículos eléctricos y el despliegue de infraestructura de recarga.</w:t>
      </w:r>
    </w:p>
    <w:p w14:paraId="1DFC6430" w14:textId="327D60A1" w:rsidR="00055FC1" w:rsidRDefault="00055FC1" w:rsidP="00713E44">
      <w:pPr>
        <w:ind w:left="720"/>
        <w:jc w:val="both"/>
        <w:rPr>
          <w:rFonts w:ascii="Arial" w:eastAsiaTheme="minorEastAsia" w:hAnsi="Arial" w:cs="Arial"/>
          <w:sz w:val="20"/>
          <w:szCs w:val="20"/>
        </w:rPr>
      </w:pPr>
      <w:r>
        <w:rPr>
          <w:rFonts w:ascii="Arial" w:eastAsiaTheme="minorEastAsia" w:hAnsi="Arial" w:cs="Arial"/>
          <w:sz w:val="20"/>
          <w:szCs w:val="20"/>
        </w:rPr>
        <w:lastRenderedPageBreak/>
        <w:t xml:space="preserve">En este sentido </w:t>
      </w:r>
      <w:r w:rsidRPr="00055FC1">
        <w:rPr>
          <w:rFonts w:ascii="Arial" w:eastAsiaTheme="minorEastAsia" w:hAnsi="Arial" w:cs="Arial"/>
          <w:sz w:val="20"/>
          <w:szCs w:val="20"/>
        </w:rPr>
        <w:t>MOVES III ha recibido solicitudes, a fecha de cierre de vigencia (31/12/2024) para la adquisición de 185.733 vehículos electrificados (BEV+PHEV) y la instalación de 153.375 puntos de recarga (tanto de acceso público como privados) </w:t>
      </w:r>
    </w:p>
    <w:p w14:paraId="1050EC70" w14:textId="77777777" w:rsidR="003107CC" w:rsidRPr="00EC61BC" w:rsidRDefault="003107CC" w:rsidP="00713E44">
      <w:pPr>
        <w:ind w:left="720"/>
        <w:jc w:val="both"/>
        <w:rPr>
          <w:rFonts w:ascii="Arial" w:eastAsiaTheme="minorEastAsia" w:hAnsi="Arial" w:cs="Arial"/>
          <w:sz w:val="20"/>
          <w:szCs w:val="20"/>
        </w:rPr>
      </w:pPr>
    </w:p>
    <w:p w14:paraId="7BF6F629" w14:textId="0184AF95" w:rsidR="4D27E677" w:rsidRPr="003107CC" w:rsidRDefault="4D27E677" w:rsidP="00B70FF2">
      <w:pPr>
        <w:pStyle w:val="Prrafodelista"/>
        <w:numPr>
          <w:ilvl w:val="0"/>
          <w:numId w:val="4"/>
        </w:numPr>
        <w:spacing w:before="240" w:after="240"/>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porcentaje del presupuesto ha sido ejecutado por los municipios rurales o de reto demográfico? ¿Cómo los apoyaron para participar?</w:t>
      </w:r>
    </w:p>
    <w:p w14:paraId="0F9E6B78" w14:textId="1E156236" w:rsidR="00B70FF2" w:rsidRDefault="00B70FF2" w:rsidP="00B70FF2">
      <w:pPr>
        <w:pStyle w:val="Prrafodelista"/>
        <w:spacing w:before="240" w:after="240"/>
        <w:jc w:val="both"/>
        <w:rPr>
          <w:rFonts w:ascii="Arial" w:eastAsiaTheme="minorEastAsia" w:hAnsi="Arial" w:cs="Arial"/>
          <w:sz w:val="20"/>
          <w:szCs w:val="20"/>
        </w:rPr>
      </w:pPr>
      <w:r>
        <w:rPr>
          <w:rFonts w:ascii="Arial" w:eastAsiaTheme="minorEastAsia" w:hAnsi="Arial" w:cs="Arial"/>
          <w:sz w:val="20"/>
          <w:szCs w:val="20"/>
        </w:rPr>
        <w:t>En general la mayoría de los programas de ayudas aplican a todos, es decir, no distinguen si los proyectos que se subvencionan o financian son en municipios rurales o de reto demográfico, o en grandes ciudades. Se centran en los tipos de proyectos.</w:t>
      </w:r>
    </w:p>
    <w:p w14:paraId="39AFC45B" w14:textId="77777777" w:rsidR="00B70FF2" w:rsidRDefault="00B70FF2" w:rsidP="00B70FF2">
      <w:pPr>
        <w:pStyle w:val="Prrafodelista"/>
        <w:spacing w:before="240" w:after="240"/>
        <w:jc w:val="both"/>
        <w:rPr>
          <w:rFonts w:ascii="Arial" w:eastAsiaTheme="minorEastAsia" w:hAnsi="Arial" w:cs="Arial"/>
          <w:sz w:val="20"/>
          <w:szCs w:val="20"/>
        </w:rPr>
      </w:pPr>
    </w:p>
    <w:p w14:paraId="2E162BC7" w14:textId="35656DEF" w:rsidR="00B70FF2" w:rsidRDefault="00B70FF2" w:rsidP="00B70FF2">
      <w:pPr>
        <w:pStyle w:val="Prrafodelista"/>
        <w:spacing w:before="240" w:after="240"/>
        <w:jc w:val="both"/>
        <w:rPr>
          <w:rFonts w:ascii="Arial" w:eastAsiaTheme="minorEastAsia" w:hAnsi="Arial" w:cs="Arial"/>
          <w:sz w:val="20"/>
          <w:szCs w:val="20"/>
        </w:rPr>
      </w:pPr>
      <w:r>
        <w:rPr>
          <w:rFonts w:ascii="Arial" w:eastAsiaTheme="minorEastAsia" w:hAnsi="Arial" w:cs="Arial"/>
          <w:sz w:val="20"/>
          <w:szCs w:val="20"/>
        </w:rPr>
        <w:t>Pero, sí que se han desarrollado e implementado programas específicos y exclusivos para municipios rurales o de reto demográfico considerando sus especificidades. Estos programas tienen el apellido de 5000, ya que están pensados para municipios de menos de 5000 habitantes, siendo este uno de los requisitos fundamentales.</w:t>
      </w:r>
    </w:p>
    <w:p w14:paraId="1690331D" w14:textId="77777777" w:rsidR="00B70FF2" w:rsidRDefault="00B70FF2" w:rsidP="00B70FF2">
      <w:pPr>
        <w:pStyle w:val="Prrafodelista"/>
        <w:spacing w:before="240" w:after="240"/>
        <w:jc w:val="both"/>
        <w:rPr>
          <w:rFonts w:ascii="Arial" w:eastAsiaTheme="minorEastAsia" w:hAnsi="Arial" w:cs="Arial"/>
          <w:sz w:val="20"/>
          <w:szCs w:val="20"/>
        </w:rPr>
      </w:pPr>
    </w:p>
    <w:p w14:paraId="3186D008" w14:textId="6989B408" w:rsidR="00B70FF2" w:rsidRDefault="00B70FF2" w:rsidP="00B70FF2">
      <w:pPr>
        <w:pStyle w:val="Prrafodelista"/>
        <w:spacing w:before="240" w:after="240"/>
        <w:jc w:val="both"/>
        <w:rPr>
          <w:rFonts w:ascii="Arial" w:eastAsiaTheme="minorEastAsia" w:hAnsi="Arial" w:cs="Arial"/>
          <w:sz w:val="20"/>
          <w:szCs w:val="20"/>
        </w:rPr>
      </w:pPr>
      <w:r>
        <w:rPr>
          <w:rFonts w:ascii="Arial" w:eastAsiaTheme="minorEastAsia" w:hAnsi="Arial" w:cs="Arial"/>
          <w:sz w:val="20"/>
          <w:szCs w:val="20"/>
        </w:rPr>
        <w:t>En IDAE hemos desarrollado dos programas con estos requisitos:</w:t>
      </w:r>
    </w:p>
    <w:p w14:paraId="5BE5404B" w14:textId="77777777" w:rsidR="00B70FF2" w:rsidRDefault="00B70FF2" w:rsidP="00B70FF2">
      <w:pPr>
        <w:pStyle w:val="Prrafodelista"/>
        <w:spacing w:before="240" w:after="240"/>
        <w:jc w:val="both"/>
        <w:rPr>
          <w:rFonts w:ascii="Arial" w:eastAsiaTheme="minorEastAsia" w:hAnsi="Arial" w:cs="Arial"/>
          <w:sz w:val="20"/>
          <w:szCs w:val="20"/>
        </w:rPr>
      </w:pPr>
    </w:p>
    <w:p w14:paraId="2DB615F3" w14:textId="0684531F" w:rsidR="00B70FF2" w:rsidRDefault="00B70FF2" w:rsidP="00B70FF2">
      <w:pPr>
        <w:pStyle w:val="Prrafodelista"/>
        <w:numPr>
          <w:ilvl w:val="0"/>
          <w:numId w:val="13"/>
        </w:numPr>
        <w:spacing w:before="240" w:after="240"/>
        <w:jc w:val="both"/>
        <w:rPr>
          <w:rFonts w:ascii="Arial" w:eastAsiaTheme="minorEastAsia" w:hAnsi="Arial" w:cs="Arial"/>
          <w:sz w:val="20"/>
          <w:szCs w:val="20"/>
        </w:rPr>
      </w:pPr>
      <w:r>
        <w:rPr>
          <w:rFonts w:ascii="Arial" w:eastAsiaTheme="minorEastAsia" w:hAnsi="Arial" w:cs="Arial"/>
          <w:sz w:val="20"/>
          <w:szCs w:val="20"/>
        </w:rPr>
        <w:t>DUS 5000 (</w:t>
      </w:r>
      <w:r w:rsidRPr="00B70FF2">
        <w:rPr>
          <w:rFonts w:ascii="Arial" w:eastAsiaTheme="minorEastAsia" w:hAnsi="Arial" w:cs="Arial"/>
          <w:sz w:val="20"/>
          <w:szCs w:val="20"/>
        </w:rPr>
        <w:t>Ayudas para inversiones a proyectos singulares locales de energía limpia en municipios de reto demográfico</w:t>
      </w:r>
      <w:r>
        <w:rPr>
          <w:rFonts w:ascii="Arial" w:eastAsiaTheme="minorEastAsia" w:hAnsi="Arial" w:cs="Arial"/>
          <w:sz w:val="20"/>
          <w:szCs w:val="20"/>
        </w:rPr>
        <w:t xml:space="preserve">), dotado con un presupuesto de 675 millones de € y cuyo link con información detallada es </w:t>
      </w:r>
      <w:hyperlink r:id="rId21" w:history="1">
        <w:r w:rsidRPr="00823FBD">
          <w:rPr>
            <w:rStyle w:val="Hipervnculo"/>
            <w:rFonts w:ascii="Arial" w:eastAsiaTheme="minorEastAsia" w:hAnsi="Arial" w:cs="Arial"/>
            <w:sz w:val="20"/>
            <w:szCs w:val="20"/>
          </w:rPr>
          <w:t>https://www.idae.es/ayudas-y-financiacion/programa-dus-5000-ayudas-para-inversiones-proyectos-singulares-locales-de</w:t>
        </w:r>
      </w:hyperlink>
      <w:r>
        <w:rPr>
          <w:rFonts w:ascii="Arial" w:eastAsiaTheme="minorEastAsia" w:hAnsi="Arial" w:cs="Arial"/>
          <w:sz w:val="20"/>
          <w:szCs w:val="20"/>
        </w:rPr>
        <w:t xml:space="preserve"> </w:t>
      </w:r>
    </w:p>
    <w:p w14:paraId="56E38021" w14:textId="77777777" w:rsidR="00B70FF2" w:rsidRDefault="00B70FF2" w:rsidP="00B70FF2">
      <w:pPr>
        <w:pStyle w:val="Prrafodelista"/>
        <w:spacing w:before="240" w:after="240"/>
        <w:jc w:val="both"/>
        <w:rPr>
          <w:rFonts w:ascii="Arial" w:eastAsiaTheme="minorEastAsia" w:hAnsi="Arial" w:cs="Arial"/>
          <w:sz w:val="20"/>
          <w:szCs w:val="20"/>
        </w:rPr>
      </w:pPr>
    </w:p>
    <w:p w14:paraId="41DF4175" w14:textId="7A200F98" w:rsidR="00B70FF2" w:rsidRDefault="00B70FF2" w:rsidP="00B70FF2">
      <w:pPr>
        <w:pStyle w:val="Prrafodelista"/>
        <w:numPr>
          <w:ilvl w:val="0"/>
          <w:numId w:val="13"/>
        </w:numPr>
        <w:spacing w:before="240" w:after="240"/>
        <w:jc w:val="both"/>
        <w:rPr>
          <w:rFonts w:ascii="Arial" w:eastAsiaTheme="minorEastAsia" w:hAnsi="Arial" w:cs="Arial"/>
          <w:sz w:val="20"/>
          <w:szCs w:val="20"/>
        </w:rPr>
      </w:pPr>
      <w:r>
        <w:rPr>
          <w:rFonts w:ascii="Arial" w:eastAsiaTheme="minorEastAsia" w:hAnsi="Arial" w:cs="Arial"/>
          <w:sz w:val="20"/>
          <w:szCs w:val="20"/>
        </w:rPr>
        <w:t>PREE 5000 (</w:t>
      </w:r>
      <w:r w:rsidRPr="00B70FF2">
        <w:rPr>
          <w:rFonts w:ascii="Arial" w:eastAsiaTheme="minorEastAsia" w:hAnsi="Arial" w:cs="Arial"/>
          <w:sz w:val="20"/>
          <w:szCs w:val="20"/>
        </w:rPr>
        <w:t>Rehabilitación energética de edificios en municipios de reto demográfico</w:t>
      </w:r>
      <w:r>
        <w:rPr>
          <w:rFonts w:ascii="Arial" w:eastAsiaTheme="minorEastAsia" w:hAnsi="Arial" w:cs="Arial"/>
          <w:sz w:val="20"/>
          <w:szCs w:val="20"/>
        </w:rPr>
        <w:t xml:space="preserve">), dotado con un presupuesto de 200 millones de € y cuyo link es </w:t>
      </w:r>
      <w:hyperlink r:id="rId22" w:history="1">
        <w:r w:rsidRPr="00823FBD">
          <w:rPr>
            <w:rStyle w:val="Hipervnculo"/>
            <w:rFonts w:ascii="Arial" w:eastAsiaTheme="minorEastAsia" w:hAnsi="Arial" w:cs="Arial"/>
            <w:sz w:val="20"/>
            <w:szCs w:val="20"/>
          </w:rPr>
          <w:t>https://www.idae.es/ayudas-y-financiacion/para-la-rehabilitacion-de-edificios/programa-pree-5000-rehabilitacion</w:t>
        </w:r>
      </w:hyperlink>
      <w:r>
        <w:rPr>
          <w:rFonts w:ascii="Arial" w:eastAsiaTheme="minorEastAsia" w:hAnsi="Arial" w:cs="Arial"/>
          <w:sz w:val="20"/>
          <w:szCs w:val="20"/>
        </w:rPr>
        <w:t xml:space="preserve"> </w:t>
      </w:r>
    </w:p>
    <w:p w14:paraId="2385AEFF" w14:textId="77777777" w:rsidR="001103D1" w:rsidRDefault="001103D1" w:rsidP="001103D1">
      <w:pPr>
        <w:pStyle w:val="Prrafodelista"/>
        <w:spacing w:before="240" w:after="240"/>
        <w:jc w:val="both"/>
        <w:rPr>
          <w:rFonts w:ascii="Arial" w:eastAsiaTheme="minorEastAsia" w:hAnsi="Arial" w:cs="Arial"/>
          <w:sz w:val="20"/>
          <w:szCs w:val="20"/>
        </w:rPr>
      </w:pPr>
    </w:p>
    <w:p w14:paraId="522A031B" w14:textId="15D83C15" w:rsidR="00B70FF2" w:rsidRDefault="001103D1" w:rsidP="001103D1">
      <w:pPr>
        <w:pStyle w:val="Prrafodelista"/>
        <w:spacing w:before="240" w:after="240"/>
        <w:jc w:val="both"/>
        <w:rPr>
          <w:rFonts w:ascii="Arial" w:eastAsiaTheme="minorEastAsia" w:hAnsi="Arial" w:cs="Arial"/>
          <w:sz w:val="20"/>
          <w:szCs w:val="20"/>
        </w:rPr>
      </w:pPr>
      <w:r>
        <w:rPr>
          <w:rFonts w:ascii="Arial" w:eastAsiaTheme="minorEastAsia" w:hAnsi="Arial" w:cs="Arial"/>
          <w:sz w:val="20"/>
          <w:szCs w:val="20"/>
        </w:rPr>
        <w:t>Proporcionalmente son pocos programas específicos al reto demográfico si comparamos la larga lista de programas que el IDAE ha implementado desde 2014 (2 frente a 28, aunque en esos 28 podían aplicar municipios rurales y de reto demográfico; con respecto al presupuesto los dos programas de reto demográfico pueden representar un 12% del total de programas y líneas de ayuda que ha definido e implementado en el IDAE desde el año 2014.</w:t>
      </w:r>
    </w:p>
    <w:p w14:paraId="759204F7" w14:textId="77777777" w:rsidR="003107CC" w:rsidRPr="00B70FF2" w:rsidRDefault="003107CC" w:rsidP="001103D1">
      <w:pPr>
        <w:pStyle w:val="Prrafodelista"/>
        <w:spacing w:before="240" w:after="240"/>
        <w:jc w:val="both"/>
        <w:rPr>
          <w:rFonts w:ascii="Arial" w:eastAsiaTheme="minorEastAsia" w:hAnsi="Arial" w:cs="Arial"/>
          <w:sz w:val="20"/>
          <w:szCs w:val="20"/>
        </w:rPr>
      </w:pPr>
    </w:p>
    <w:p w14:paraId="30CDE790" w14:textId="4DD61FEC" w:rsidR="4D27E677" w:rsidRPr="003107CC" w:rsidRDefault="4D27E677" w:rsidP="2E0AAB0A">
      <w:pPr>
        <w:numPr>
          <w:ilvl w:val="0"/>
          <w:numId w:val="4"/>
        </w:numPr>
        <w:jc w:val="both"/>
        <w:rPr>
          <w:rFonts w:ascii="Arial" w:eastAsiaTheme="minorEastAsia" w:hAnsi="Arial" w:cs="Arial"/>
          <w:b/>
          <w:bCs/>
          <w:sz w:val="20"/>
          <w:szCs w:val="20"/>
        </w:rPr>
      </w:pPr>
      <w:r w:rsidRPr="003107CC">
        <w:rPr>
          <w:rFonts w:ascii="Arial" w:eastAsia="Aptos" w:hAnsi="Arial" w:cs="Arial"/>
          <w:b/>
          <w:bCs/>
          <w:sz w:val="20"/>
          <w:szCs w:val="20"/>
        </w:rPr>
        <w:t>¿</w:t>
      </w:r>
      <w:r w:rsidRPr="003107CC">
        <w:rPr>
          <w:rFonts w:ascii="Arial" w:eastAsiaTheme="minorEastAsia" w:hAnsi="Arial" w:cs="Arial"/>
          <w:b/>
          <w:bCs/>
          <w:sz w:val="20"/>
          <w:szCs w:val="20"/>
        </w:rPr>
        <w:t>Qué estrategias utilizaron para fomentar la inversión privada en infraestructura de recarga?</w:t>
      </w:r>
    </w:p>
    <w:p w14:paraId="04C7EB0F" w14:textId="77777777" w:rsidR="00DA54CF" w:rsidRPr="00DA54CF" w:rsidRDefault="00DA54CF" w:rsidP="00DA54CF">
      <w:pPr>
        <w:pStyle w:val="Prrafodelista"/>
        <w:numPr>
          <w:ilvl w:val="0"/>
          <w:numId w:val="7"/>
        </w:numPr>
        <w:jc w:val="both"/>
        <w:rPr>
          <w:rFonts w:ascii="Arial" w:hAnsi="Arial" w:cs="Arial"/>
          <w:sz w:val="20"/>
          <w:szCs w:val="20"/>
        </w:rPr>
      </w:pPr>
      <w:r w:rsidRPr="00DA54CF">
        <w:rPr>
          <w:rFonts w:ascii="Arial" w:hAnsi="Arial" w:cs="Arial"/>
          <w:sz w:val="20"/>
          <w:szCs w:val="20"/>
        </w:rPr>
        <w:t xml:space="preserve">Se dispuso de un programa de ayudas, MOVES III, que incentiva la instalación de puntos de recarga tanto de acceso público como privados. </w:t>
      </w:r>
    </w:p>
    <w:p w14:paraId="04914005" w14:textId="77777777" w:rsidR="00DA54CF" w:rsidRPr="00DA54CF" w:rsidRDefault="00DA54CF" w:rsidP="00DA54CF">
      <w:pPr>
        <w:pStyle w:val="Prrafodelista"/>
        <w:numPr>
          <w:ilvl w:val="0"/>
          <w:numId w:val="7"/>
        </w:numPr>
        <w:jc w:val="both"/>
        <w:rPr>
          <w:rFonts w:ascii="Arial" w:hAnsi="Arial" w:cs="Arial"/>
          <w:sz w:val="20"/>
          <w:szCs w:val="20"/>
        </w:rPr>
      </w:pPr>
      <w:r w:rsidRPr="00DA54CF">
        <w:rPr>
          <w:rFonts w:ascii="Arial" w:hAnsi="Arial" w:cs="Arial"/>
          <w:sz w:val="20"/>
          <w:szCs w:val="20"/>
        </w:rPr>
        <w:t>Se ha agilizado la tramitación administrativa de los expedientes con modificaciones regulatorias</w:t>
      </w:r>
    </w:p>
    <w:p w14:paraId="5351C1AD" w14:textId="77777777" w:rsidR="00DA54CF" w:rsidRPr="00DA54CF" w:rsidRDefault="00DA54CF" w:rsidP="00DA54CF">
      <w:pPr>
        <w:pStyle w:val="Prrafodelista"/>
        <w:numPr>
          <w:ilvl w:val="0"/>
          <w:numId w:val="7"/>
        </w:numPr>
        <w:jc w:val="both"/>
        <w:rPr>
          <w:rFonts w:ascii="Arial" w:hAnsi="Arial" w:cs="Arial"/>
          <w:sz w:val="20"/>
          <w:szCs w:val="20"/>
        </w:rPr>
      </w:pPr>
      <w:r w:rsidRPr="00DA54CF">
        <w:rPr>
          <w:rFonts w:ascii="Arial" w:hAnsi="Arial" w:cs="Arial"/>
          <w:sz w:val="20"/>
          <w:szCs w:val="20"/>
        </w:rPr>
        <w:lastRenderedPageBreak/>
        <w:t>Se ha publicado un registro de datos oficiales de puntos de recarga, el RIPREE y otro con datos dinámicos, el mapa REVE. Se otorga a los operadores de recarga un código único.</w:t>
      </w:r>
    </w:p>
    <w:p w14:paraId="027FFD17" w14:textId="77777777" w:rsidR="00DA54CF" w:rsidRDefault="00DA54CF" w:rsidP="00DA54CF">
      <w:pPr>
        <w:pStyle w:val="Prrafodelista"/>
        <w:numPr>
          <w:ilvl w:val="0"/>
          <w:numId w:val="7"/>
        </w:numPr>
        <w:jc w:val="both"/>
        <w:rPr>
          <w:rFonts w:ascii="Arial" w:hAnsi="Arial" w:cs="Arial"/>
          <w:sz w:val="20"/>
          <w:szCs w:val="20"/>
        </w:rPr>
      </w:pPr>
      <w:r w:rsidRPr="00DA54CF">
        <w:rPr>
          <w:rFonts w:ascii="Arial" w:hAnsi="Arial" w:cs="Arial"/>
          <w:sz w:val="20"/>
          <w:szCs w:val="20"/>
        </w:rPr>
        <w:t>Se han regulado las obligaciones y derechos de los operadores de recarga. (Real Decreto 184/2022, de 8 de marzo, por el que se regula la actividad de prestación de servicios de recarga energética de vehículos eléctricos)</w:t>
      </w:r>
    </w:p>
    <w:p w14:paraId="7D6D4B59" w14:textId="77777777" w:rsidR="003107CC" w:rsidRDefault="003107CC" w:rsidP="003107CC">
      <w:pPr>
        <w:pStyle w:val="Prrafodelista"/>
        <w:jc w:val="both"/>
        <w:rPr>
          <w:rFonts w:ascii="Arial" w:hAnsi="Arial" w:cs="Arial"/>
          <w:sz w:val="20"/>
          <w:szCs w:val="20"/>
        </w:rPr>
      </w:pPr>
    </w:p>
    <w:p w14:paraId="4F083B11" w14:textId="77777777" w:rsidR="00DA54CF" w:rsidRPr="00DA54CF" w:rsidRDefault="00DA54CF" w:rsidP="00DA54CF">
      <w:pPr>
        <w:pStyle w:val="Prrafodelista"/>
        <w:jc w:val="both"/>
        <w:rPr>
          <w:rFonts w:ascii="Arial" w:hAnsi="Arial" w:cs="Arial"/>
          <w:sz w:val="20"/>
          <w:szCs w:val="20"/>
        </w:rPr>
      </w:pPr>
    </w:p>
    <w:p w14:paraId="1A63B45D" w14:textId="1123A09A" w:rsidR="4D27E677" w:rsidRPr="003107CC" w:rsidRDefault="4D27E677" w:rsidP="00423CEE">
      <w:pPr>
        <w:pStyle w:val="Prrafodelista"/>
        <w:numPr>
          <w:ilvl w:val="0"/>
          <w:numId w:val="4"/>
        </w:numPr>
        <w:ind w:left="714" w:hanging="357"/>
        <w:jc w:val="both"/>
        <w:rPr>
          <w:rFonts w:ascii="Arial" w:eastAsiaTheme="minorEastAsia" w:hAnsi="Arial" w:cs="Arial"/>
          <w:b/>
          <w:bCs/>
          <w:sz w:val="20"/>
          <w:szCs w:val="20"/>
        </w:rPr>
      </w:pPr>
      <w:r w:rsidRPr="003107CC">
        <w:rPr>
          <w:rFonts w:ascii="Arial" w:eastAsiaTheme="minorEastAsia" w:hAnsi="Arial" w:cs="Arial"/>
          <w:b/>
          <w:bCs/>
          <w:sz w:val="20"/>
          <w:szCs w:val="20"/>
        </w:rPr>
        <w:t>¿Qué mecanismos de coordinación existen entre los niveles nacional, regional y local para la expansión de puntos de recarga?</w:t>
      </w:r>
    </w:p>
    <w:p w14:paraId="7F0E58EC" w14:textId="77777777" w:rsidR="0066039F" w:rsidRPr="0066039F" w:rsidRDefault="0066039F" w:rsidP="00423CEE">
      <w:pPr>
        <w:ind w:left="709"/>
        <w:jc w:val="both"/>
        <w:rPr>
          <w:rFonts w:ascii="Arial" w:hAnsi="Arial" w:cs="Arial"/>
          <w:sz w:val="20"/>
          <w:szCs w:val="20"/>
        </w:rPr>
      </w:pPr>
      <w:r w:rsidRPr="0066039F">
        <w:rPr>
          <w:rFonts w:ascii="Arial" w:hAnsi="Arial" w:cs="Arial"/>
          <w:sz w:val="20"/>
          <w:szCs w:val="20"/>
        </w:rPr>
        <w:t>Se ha creado el GTRIVE. El Grupo de Gobernanza para el seguimiento del despliegue de Infraestructura del Vehículo Eléctrico (GTIRVE) es una iniciativa del Gobierno de España, presidida por la Secretaría de Estado de Energía, del Ministerio para la Transición Ecológica y el Reto Demográfico (MITECO), y que representa un marco de encuentro entre el sector de la movilidad eléctrica y las Administraciones a sus distintos niveles (AGE, CCAA y Gobiernos Municipales), para impulsar el desarrollo e implantación de la infraestructura de recarga de vehículo eléctrico en nuestro país.</w:t>
      </w:r>
    </w:p>
    <w:p w14:paraId="3098D1CE" w14:textId="77777777" w:rsidR="00A97DD7" w:rsidRDefault="0066039F" w:rsidP="0066039F">
      <w:pPr>
        <w:ind w:left="708"/>
        <w:jc w:val="both"/>
        <w:rPr>
          <w:rFonts w:ascii="Arial" w:hAnsi="Arial" w:cs="Arial"/>
          <w:sz w:val="20"/>
          <w:szCs w:val="20"/>
        </w:rPr>
      </w:pPr>
      <w:r w:rsidRPr="0066039F">
        <w:rPr>
          <w:rFonts w:ascii="Arial" w:hAnsi="Arial" w:cs="Arial"/>
          <w:sz w:val="20"/>
          <w:szCs w:val="20"/>
        </w:rPr>
        <w:t>Se facilita link a página web con información básica.</w:t>
      </w:r>
    </w:p>
    <w:p w14:paraId="647658A2" w14:textId="4F34EAA3" w:rsidR="0066039F" w:rsidRDefault="00A97DD7" w:rsidP="0066039F">
      <w:pPr>
        <w:ind w:left="708"/>
        <w:jc w:val="both"/>
      </w:pPr>
      <w:hyperlink r:id="rId23" w:history="1">
        <w:r w:rsidRPr="00823FBD">
          <w:rPr>
            <w:rStyle w:val="Hipervnculo"/>
            <w:rFonts w:ascii="Arial" w:eastAsiaTheme="minorEastAsia" w:hAnsi="Arial" w:cs="Arial"/>
            <w:sz w:val="20"/>
            <w:szCs w:val="20"/>
          </w:rPr>
          <w:t>https://www.idae.es/tecnologias/eficiencia-energetica/transporte/grupo-de-trabajo-de-infraestructuras-de-recarga-del-vehiculo-electrico-gtirve</w:t>
        </w:r>
      </w:hyperlink>
      <w:r w:rsidR="0066039F">
        <w:t xml:space="preserve"> </w:t>
      </w:r>
    </w:p>
    <w:p w14:paraId="7DCAAD52" w14:textId="77777777" w:rsidR="003107CC" w:rsidRPr="00671E07" w:rsidRDefault="003107CC" w:rsidP="0066039F">
      <w:pPr>
        <w:ind w:left="708"/>
        <w:jc w:val="both"/>
        <w:rPr>
          <w:rFonts w:ascii="Arial" w:eastAsiaTheme="minorEastAsia" w:hAnsi="Arial" w:cs="Arial"/>
          <w:color w:val="002060"/>
          <w:sz w:val="20"/>
          <w:szCs w:val="20"/>
        </w:rPr>
      </w:pPr>
    </w:p>
    <w:p w14:paraId="78E8338B" w14:textId="77777777" w:rsidR="0066039F" w:rsidRDefault="0066039F" w:rsidP="0066039F">
      <w:pPr>
        <w:pStyle w:val="Prrafodelista"/>
        <w:jc w:val="both"/>
        <w:rPr>
          <w:rFonts w:ascii="Arial" w:eastAsiaTheme="minorEastAsia" w:hAnsi="Arial" w:cs="Arial"/>
          <w:sz w:val="20"/>
          <w:szCs w:val="20"/>
        </w:rPr>
      </w:pPr>
    </w:p>
    <w:p w14:paraId="0C309F82" w14:textId="38E3729D" w:rsidR="4D27E677" w:rsidRPr="003107CC" w:rsidRDefault="4D27E677" w:rsidP="00A97DD7">
      <w:pPr>
        <w:pStyle w:val="Prrafodelista"/>
        <w:numPr>
          <w:ilvl w:val="0"/>
          <w:numId w:val="4"/>
        </w:numPr>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tipo de estándares técnicos y normativos se definieron para asegurar la interoperabilidad de las estaciones?</w:t>
      </w:r>
    </w:p>
    <w:p w14:paraId="3920AF50" w14:textId="0FAE5F13" w:rsidR="00423CEE" w:rsidRDefault="00423CEE" w:rsidP="00423CEE">
      <w:pPr>
        <w:pStyle w:val="Prrafodelista"/>
        <w:contextualSpacing w:val="0"/>
        <w:jc w:val="both"/>
        <w:rPr>
          <w:rFonts w:ascii="Arial" w:hAnsi="Arial" w:cs="Arial"/>
          <w:sz w:val="20"/>
          <w:szCs w:val="20"/>
        </w:rPr>
      </w:pPr>
      <w:r w:rsidRPr="00423CEE">
        <w:rPr>
          <w:rFonts w:ascii="Arial" w:hAnsi="Arial" w:cs="Arial"/>
          <w:sz w:val="20"/>
          <w:szCs w:val="20"/>
        </w:rPr>
        <w:t>Nos acogemos a los estándares europeos. Normas ISO</w:t>
      </w:r>
    </w:p>
    <w:p w14:paraId="2E4C8DDA" w14:textId="77777777" w:rsidR="003107CC" w:rsidRPr="00423CEE" w:rsidRDefault="003107CC" w:rsidP="00423CEE">
      <w:pPr>
        <w:pStyle w:val="Prrafodelista"/>
        <w:contextualSpacing w:val="0"/>
        <w:jc w:val="both"/>
        <w:rPr>
          <w:rFonts w:ascii="Arial" w:hAnsi="Arial" w:cs="Arial"/>
          <w:sz w:val="20"/>
          <w:szCs w:val="20"/>
        </w:rPr>
      </w:pPr>
    </w:p>
    <w:p w14:paraId="34FF8D6F" w14:textId="2E3474F3" w:rsidR="4D27E677" w:rsidRPr="003107CC" w:rsidRDefault="4D27E677" w:rsidP="2E0AAB0A">
      <w:pPr>
        <w:numPr>
          <w:ilvl w:val="0"/>
          <w:numId w:val="4"/>
        </w:numPr>
        <w:jc w:val="both"/>
        <w:rPr>
          <w:rFonts w:ascii="Arial" w:eastAsiaTheme="minorEastAsia" w:hAnsi="Arial" w:cs="Arial"/>
          <w:b/>
          <w:bCs/>
          <w:sz w:val="20"/>
          <w:szCs w:val="20"/>
        </w:rPr>
      </w:pPr>
      <w:r w:rsidRPr="003107CC">
        <w:rPr>
          <w:rFonts w:ascii="Arial" w:eastAsiaTheme="minorEastAsia" w:hAnsi="Arial" w:cs="Arial"/>
          <w:b/>
          <w:bCs/>
          <w:sz w:val="20"/>
          <w:szCs w:val="20"/>
        </w:rPr>
        <w:t>¿Qué incentivos se usaron para acelerar la conversión de flotas públicas (policía, transporte urbano, gobierno) a vehículos eléctricos?</w:t>
      </w:r>
    </w:p>
    <w:p w14:paraId="67D2FE78" w14:textId="77777777" w:rsidR="00A15F7F" w:rsidRPr="00A15F7F" w:rsidRDefault="00A15F7F" w:rsidP="00A15F7F">
      <w:pPr>
        <w:pStyle w:val="Prrafodelista"/>
        <w:contextualSpacing w:val="0"/>
        <w:jc w:val="both"/>
        <w:rPr>
          <w:rFonts w:ascii="Arial" w:hAnsi="Arial" w:cs="Arial"/>
          <w:sz w:val="20"/>
          <w:szCs w:val="20"/>
        </w:rPr>
      </w:pPr>
      <w:r w:rsidRPr="00A15F7F">
        <w:rPr>
          <w:rFonts w:ascii="Arial" w:hAnsi="Arial" w:cs="Arial"/>
          <w:sz w:val="20"/>
          <w:szCs w:val="20"/>
        </w:rPr>
        <w:t>Desde el año 2014, se han ido publicando programas de ayudas públicas, como incentivos a la adquisición de vehículos. El programa MOVES III, publicado en 2021, con una vigencia de 3 años y medio, ha tenido un presupuesto de 1.300 M€. Recientemente se ha aprobado un MOVES III para 2025 con una dotación de 400 M€.</w:t>
      </w:r>
    </w:p>
    <w:p w14:paraId="24792314" w14:textId="77777777" w:rsidR="00A15F7F" w:rsidRPr="00A15F7F" w:rsidRDefault="00A15F7F" w:rsidP="00A15F7F">
      <w:pPr>
        <w:pStyle w:val="Prrafodelista"/>
        <w:contextualSpacing w:val="0"/>
        <w:jc w:val="both"/>
        <w:rPr>
          <w:rFonts w:ascii="Arial" w:hAnsi="Arial" w:cs="Arial"/>
          <w:sz w:val="20"/>
          <w:szCs w:val="20"/>
        </w:rPr>
      </w:pPr>
      <w:r w:rsidRPr="00A15F7F">
        <w:rPr>
          <w:rFonts w:ascii="Arial" w:hAnsi="Arial" w:cs="Arial"/>
          <w:sz w:val="20"/>
          <w:szCs w:val="20"/>
        </w:rPr>
        <w:t xml:space="preserve">También se publicaron 3 convocatorias de MOVES FLOTAS, con un presupuesto de 130 M€. </w:t>
      </w:r>
    </w:p>
    <w:p w14:paraId="564375CE" w14:textId="23543629" w:rsidR="00A15F7F" w:rsidRPr="00A15F7F" w:rsidRDefault="00A15F7F" w:rsidP="00A15F7F">
      <w:pPr>
        <w:pStyle w:val="Prrafodelista"/>
        <w:contextualSpacing w:val="0"/>
        <w:jc w:val="both"/>
        <w:rPr>
          <w:rFonts w:ascii="Arial" w:hAnsi="Arial" w:cs="Arial"/>
          <w:sz w:val="20"/>
          <w:szCs w:val="20"/>
        </w:rPr>
      </w:pPr>
      <w:r w:rsidRPr="00A15F7F">
        <w:rPr>
          <w:rFonts w:ascii="Arial" w:hAnsi="Arial" w:cs="Arial"/>
          <w:sz w:val="20"/>
          <w:szCs w:val="20"/>
        </w:rPr>
        <w:t xml:space="preserve">Se adjuntan links con información de interés del programa. </w:t>
      </w:r>
    </w:p>
    <w:p w14:paraId="750B3ADF" w14:textId="5A39B687" w:rsidR="00A15F7F" w:rsidRPr="00A15F7F" w:rsidRDefault="00A15F7F" w:rsidP="00A15F7F">
      <w:pPr>
        <w:pStyle w:val="Prrafodelista"/>
        <w:contextualSpacing w:val="0"/>
        <w:jc w:val="both"/>
        <w:rPr>
          <w:rFonts w:ascii="Arial" w:eastAsiaTheme="minorEastAsia" w:hAnsi="Arial" w:cs="Arial"/>
          <w:color w:val="002060"/>
          <w:sz w:val="20"/>
          <w:szCs w:val="20"/>
        </w:rPr>
      </w:pPr>
      <w:hyperlink r:id="rId24" w:history="1">
        <w:r w:rsidRPr="00823FBD">
          <w:rPr>
            <w:rStyle w:val="Hipervnculo"/>
            <w:rFonts w:ascii="Arial" w:eastAsiaTheme="minorEastAsia" w:hAnsi="Arial" w:cs="Arial"/>
            <w:sz w:val="20"/>
            <w:szCs w:val="20"/>
          </w:rPr>
          <w:t>https://www.idae.es/ayudas-y-financiacion/para-movilidad-y-vehiculos/programa-moves-iii</w:t>
        </w:r>
      </w:hyperlink>
    </w:p>
    <w:p w14:paraId="4ADE7173" w14:textId="02EB804A" w:rsidR="00A15F7F" w:rsidRDefault="00A15F7F" w:rsidP="00A15F7F">
      <w:pPr>
        <w:pStyle w:val="Prrafodelista"/>
        <w:jc w:val="both"/>
        <w:rPr>
          <w:rFonts w:ascii="Arial" w:eastAsiaTheme="minorEastAsia" w:hAnsi="Arial" w:cs="Arial"/>
          <w:color w:val="002060"/>
          <w:sz w:val="20"/>
          <w:szCs w:val="20"/>
        </w:rPr>
      </w:pPr>
      <w:hyperlink r:id="rId25" w:history="1">
        <w:r w:rsidRPr="00823FBD">
          <w:rPr>
            <w:rStyle w:val="Hipervnculo"/>
            <w:rFonts w:ascii="Arial" w:eastAsiaTheme="minorEastAsia" w:hAnsi="Arial" w:cs="Arial"/>
            <w:sz w:val="20"/>
            <w:szCs w:val="20"/>
          </w:rPr>
          <w:t>https://www.idae.es/ayudas-y-financiacion/para-movilidad-y-vehiculos/programa-moves-flotas</w:t>
        </w:r>
      </w:hyperlink>
      <w:r>
        <w:rPr>
          <w:rFonts w:ascii="Arial" w:eastAsiaTheme="minorEastAsia" w:hAnsi="Arial" w:cs="Arial"/>
          <w:color w:val="002060"/>
          <w:sz w:val="20"/>
          <w:szCs w:val="20"/>
        </w:rPr>
        <w:t xml:space="preserve"> </w:t>
      </w:r>
    </w:p>
    <w:p w14:paraId="47411857" w14:textId="77777777" w:rsidR="00AE4674" w:rsidRDefault="00AE4674" w:rsidP="00A15F7F">
      <w:pPr>
        <w:pStyle w:val="Prrafodelista"/>
        <w:jc w:val="both"/>
        <w:rPr>
          <w:rFonts w:ascii="Arial" w:eastAsiaTheme="minorEastAsia" w:hAnsi="Arial" w:cs="Arial"/>
          <w:color w:val="002060"/>
          <w:sz w:val="20"/>
          <w:szCs w:val="20"/>
        </w:rPr>
      </w:pPr>
    </w:p>
    <w:p w14:paraId="6D5AB723" w14:textId="77777777" w:rsidR="00A15F7F" w:rsidRPr="00A15F7F" w:rsidRDefault="00A15F7F" w:rsidP="00A15F7F">
      <w:pPr>
        <w:pStyle w:val="Prrafodelista"/>
        <w:jc w:val="both"/>
        <w:rPr>
          <w:rFonts w:ascii="Arial" w:eastAsiaTheme="minorEastAsia" w:hAnsi="Arial" w:cs="Arial"/>
          <w:color w:val="002060"/>
          <w:sz w:val="20"/>
          <w:szCs w:val="20"/>
        </w:rPr>
      </w:pPr>
    </w:p>
    <w:p w14:paraId="491846F5" w14:textId="1921889A" w:rsidR="4D27E677" w:rsidRPr="003107CC" w:rsidRDefault="4D27E677" w:rsidP="00A15F7F">
      <w:pPr>
        <w:pStyle w:val="Prrafodelista"/>
        <w:numPr>
          <w:ilvl w:val="0"/>
          <w:numId w:val="4"/>
        </w:numPr>
        <w:spacing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¿Cómo estructuraron el apoyo a flotas privadas (taxis, logística, transporte de mercancías)?</w:t>
      </w:r>
    </w:p>
    <w:p w14:paraId="0D9A109C" w14:textId="77777777" w:rsidR="00A15F7F" w:rsidRDefault="00A15F7F" w:rsidP="00A15F7F">
      <w:pPr>
        <w:pStyle w:val="Prrafodelista"/>
        <w:spacing w:line="240" w:lineRule="auto"/>
        <w:jc w:val="both"/>
        <w:rPr>
          <w:rFonts w:ascii="Arial" w:hAnsi="Arial" w:cs="Arial"/>
          <w:sz w:val="20"/>
          <w:szCs w:val="20"/>
        </w:rPr>
      </w:pPr>
      <w:r w:rsidRPr="00A15F7F">
        <w:rPr>
          <w:rFonts w:ascii="Arial" w:hAnsi="Arial" w:cs="Arial"/>
          <w:sz w:val="20"/>
          <w:szCs w:val="20"/>
        </w:rPr>
        <w:t xml:space="preserve">No hubo diferenciación en los Programas de ayuda, si bien las ayudas a taxis y VTCs tenían un 10% adicional de ayuda. </w:t>
      </w:r>
    </w:p>
    <w:p w14:paraId="336A3D54" w14:textId="77777777" w:rsidR="00AE4674" w:rsidRPr="00A15F7F" w:rsidRDefault="00AE4674" w:rsidP="00A15F7F">
      <w:pPr>
        <w:pStyle w:val="Prrafodelista"/>
        <w:spacing w:line="240" w:lineRule="auto"/>
        <w:jc w:val="both"/>
        <w:rPr>
          <w:rFonts w:ascii="Arial" w:hAnsi="Arial" w:cs="Arial"/>
          <w:sz w:val="20"/>
          <w:szCs w:val="20"/>
        </w:rPr>
      </w:pPr>
    </w:p>
    <w:p w14:paraId="0D90F880" w14:textId="77777777" w:rsidR="00A15F7F" w:rsidRDefault="00A15F7F" w:rsidP="00A15F7F">
      <w:pPr>
        <w:pStyle w:val="Prrafodelista"/>
        <w:spacing w:line="240" w:lineRule="auto"/>
        <w:jc w:val="both"/>
        <w:rPr>
          <w:rFonts w:ascii="Arial" w:eastAsiaTheme="minorEastAsia" w:hAnsi="Arial" w:cs="Arial"/>
          <w:sz w:val="20"/>
          <w:szCs w:val="20"/>
        </w:rPr>
      </w:pPr>
    </w:p>
    <w:p w14:paraId="3B458B00" w14:textId="29966E25" w:rsidR="00D34401" w:rsidRPr="003107CC" w:rsidRDefault="4D27E677" w:rsidP="00A15F7F">
      <w:pPr>
        <w:pStyle w:val="Prrafodelista"/>
        <w:numPr>
          <w:ilvl w:val="0"/>
          <w:numId w:val="4"/>
        </w:numPr>
        <w:spacing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aprendizajes surgieron del programa MOVES Flotas?</w:t>
      </w:r>
    </w:p>
    <w:p w14:paraId="0AE29545" w14:textId="77777777" w:rsidR="00A15F7F" w:rsidRDefault="00A15F7F" w:rsidP="00A15F7F">
      <w:pPr>
        <w:pStyle w:val="Prrafodelista"/>
        <w:spacing w:line="240" w:lineRule="auto"/>
        <w:jc w:val="both"/>
        <w:rPr>
          <w:rFonts w:ascii="Arial" w:hAnsi="Arial" w:cs="Arial"/>
          <w:sz w:val="20"/>
          <w:szCs w:val="20"/>
        </w:rPr>
      </w:pPr>
      <w:r w:rsidRPr="00A15F7F">
        <w:rPr>
          <w:rFonts w:ascii="Arial" w:hAnsi="Arial" w:cs="Arial"/>
          <w:sz w:val="20"/>
          <w:szCs w:val="20"/>
        </w:rPr>
        <w:t xml:space="preserve">Dado que se tenía que exigir, por tema competencial en España, que los proyectos de flota estuvieran ubicados en varias Comunidades Autónomas, se limitó el nicho de potenciales beneficiarios. Las bases eran muy similares a MOVES III. </w:t>
      </w:r>
    </w:p>
    <w:p w14:paraId="0A70C97A" w14:textId="77777777" w:rsidR="00AE4674" w:rsidRPr="00A15F7F" w:rsidRDefault="00AE4674" w:rsidP="00A15F7F">
      <w:pPr>
        <w:pStyle w:val="Prrafodelista"/>
        <w:spacing w:line="240" w:lineRule="auto"/>
        <w:jc w:val="both"/>
        <w:rPr>
          <w:rFonts w:ascii="Arial" w:hAnsi="Arial" w:cs="Arial"/>
          <w:sz w:val="20"/>
          <w:szCs w:val="20"/>
        </w:rPr>
      </w:pPr>
    </w:p>
    <w:p w14:paraId="67CEFD91" w14:textId="77777777" w:rsidR="00A15F7F" w:rsidRDefault="00A15F7F" w:rsidP="00A15F7F">
      <w:pPr>
        <w:pStyle w:val="Prrafodelista"/>
        <w:spacing w:line="240" w:lineRule="auto"/>
        <w:jc w:val="both"/>
        <w:rPr>
          <w:rFonts w:ascii="Arial" w:eastAsiaTheme="minorEastAsia" w:hAnsi="Arial" w:cs="Arial"/>
          <w:sz w:val="20"/>
          <w:szCs w:val="20"/>
        </w:rPr>
      </w:pPr>
    </w:p>
    <w:p w14:paraId="16ED9420" w14:textId="4C29F068" w:rsidR="1174D14F" w:rsidRPr="003107CC" w:rsidRDefault="1174D14F" w:rsidP="00A15F7F">
      <w:pPr>
        <w:pStyle w:val="Prrafodelista"/>
        <w:numPr>
          <w:ilvl w:val="0"/>
          <w:numId w:val="4"/>
        </w:numPr>
        <w:spacing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tipo de proyectos se financiaron bajo MOVES Singulares II? ¿Hay ejemplos destacados de integración con TIC, baterías o hidrógeno?</w:t>
      </w:r>
    </w:p>
    <w:p w14:paraId="42A57F3E" w14:textId="053DA0D5" w:rsidR="00A15F7F" w:rsidRPr="00A15F7F" w:rsidRDefault="00A15F7F" w:rsidP="00A15F7F">
      <w:pPr>
        <w:pStyle w:val="Prrafodelista"/>
        <w:spacing w:line="240" w:lineRule="auto"/>
        <w:jc w:val="both"/>
        <w:rPr>
          <w:rFonts w:ascii="Arial" w:hAnsi="Arial" w:cs="Arial"/>
          <w:sz w:val="20"/>
          <w:szCs w:val="20"/>
        </w:rPr>
      </w:pPr>
      <w:r w:rsidRPr="00A15F7F">
        <w:rPr>
          <w:rFonts w:ascii="Arial" w:hAnsi="Arial" w:cs="Arial"/>
          <w:sz w:val="20"/>
          <w:szCs w:val="20"/>
        </w:rPr>
        <w:t xml:space="preserve">Proyectos singulares relacionados con movilidad eléctrica, según los diferentes tipos que figuraban en el Anexo. </w:t>
      </w:r>
    </w:p>
    <w:p w14:paraId="36BAF2A2" w14:textId="77777777" w:rsidR="00A15F7F" w:rsidRDefault="00A15F7F" w:rsidP="00A15F7F">
      <w:pPr>
        <w:pStyle w:val="Prrafodelista"/>
        <w:spacing w:line="240" w:lineRule="auto"/>
        <w:jc w:val="both"/>
        <w:rPr>
          <w:rFonts w:ascii="Arial" w:hAnsi="Arial" w:cs="Arial"/>
          <w:sz w:val="20"/>
          <w:szCs w:val="20"/>
        </w:rPr>
      </w:pPr>
    </w:p>
    <w:p w14:paraId="620F4BB5" w14:textId="14851E50" w:rsidR="00A15F7F" w:rsidRPr="00A15F7F" w:rsidRDefault="00A15F7F" w:rsidP="00A15F7F">
      <w:pPr>
        <w:pStyle w:val="Prrafodelista"/>
        <w:spacing w:line="240" w:lineRule="auto"/>
        <w:jc w:val="both"/>
        <w:rPr>
          <w:rFonts w:ascii="Arial" w:hAnsi="Arial" w:cs="Arial"/>
          <w:sz w:val="20"/>
          <w:szCs w:val="20"/>
        </w:rPr>
      </w:pPr>
      <w:r w:rsidRPr="00A15F7F">
        <w:rPr>
          <w:rFonts w:ascii="Arial" w:hAnsi="Arial" w:cs="Arial"/>
          <w:sz w:val="20"/>
          <w:szCs w:val="20"/>
        </w:rPr>
        <w:t xml:space="preserve">Se adjunta </w:t>
      </w:r>
      <w:r>
        <w:rPr>
          <w:rFonts w:ascii="Arial" w:hAnsi="Arial" w:cs="Arial"/>
          <w:sz w:val="20"/>
          <w:szCs w:val="20"/>
        </w:rPr>
        <w:t>l</w:t>
      </w:r>
      <w:r w:rsidRPr="00A15F7F">
        <w:rPr>
          <w:rFonts w:ascii="Arial" w:hAnsi="Arial" w:cs="Arial"/>
          <w:sz w:val="20"/>
          <w:szCs w:val="20"/>
        </w:rPr>
        <w:t>ink.</w:t>
      </w:r>
    </w:p>
    <w:p w14:paraId="26DA3B8E" w14:textId="1E79BC04" w:rsidR="00A15F7F" w:rsidRDefault="00A15F7F" w:rsidP="00A15F7F">
      <w:pPr>
        <w:pStyle w:val="Prrafodelista"/>
        <w:spacing w:line="240" w:lineRule="auto"/>
        <w:jc w:val="both"/>
      </w:pPr>
      <w:hyperlink r:id="rId26" w:history="1">
        <w:r w:rsidRPr="00823FBD">
          <w:rPr>
            <w:rStyle w:val="Hipervnculo"/>
            <w:rFonts w:ascii="Arial" w:eastAsiaTheme="minorEastAsia" w:hAnsi="Arial" w:cs="Arial"/>
            <w:sz w:val="20"/>
            <w:szCs w:val="20"/>
          </w:rPr>
          <w:t>https://www.idae.es/ayudas-y-financiacion/para-movilidad-y-vehiculos/programa-moves-proyectos-singulares-ii/1a-convocatoria</w:t>
        </w:r>
      </w:hyperlink>
    </w:p>
    <w:p w14:paraId="7B53F2C8" w14:textId="77777777" w:rsidR="00AE4674" w:rsidRPr="00B46FDD" w:rsidRDefault="00AE4674" w:rsidP="00A15F7F">
      <w:pPr>
        <w:pStyle w:val="Prrafodelista"/>
        <w:spacing w:line="240" w:lineRule="auto"/>
        <w:jc w:val="both"/>
        <w:rPr>
          <w:rFonts w:ascii="Arial" w:eastAsiaTheme="minorEastAsia" w:hAnsi="Arial" w:cs="Arial"/>
          <w:color w:val="002060"/>
          <w:sz w:val="20"/>
          <w:szCs w:val="20"/>
        </w:rPr>
      </w:pPr>
    </w:p>
    <w:p w14:paraId="60C36278" w14:textId="77777777" w:rsidR="00A15F7F" w:rsidRDefault="00A15F7F" w:rsidP="00A15F7F">
      <w:pPr>
        <w:pStyle w:val="Prrafodelista"/>
        <w:spacing w:line="240" w:lineRule="auto"/>
        <w:jc w:val="both"/>
        <w:rPr>
          <w:rFonts w:ascii="Arial" w:eastAsiaTheme="minorEastAsia" w:hAnsi="Arial" w:cs="Arial"/>
          <w:sz w:val="20"/>
          <w:szCs w:val="20"/>
        </w:rPr>
      </w:pPr>
    </w:p>
    <w:p w14:paraId="52BED4AB" w14:textId="262F76FE" w:rsidR="00D34401" w:rsidRPr="003107CC" w:rsidRDefault="1174D14F" w:rsidP="000A1C62">
      <w:pPr>
        <w:pStyle w:val="Prrafodelista"/>
        <w:numPr>
          <w:ilvl w:val="0"/>
          <w:numId w:val="4"/>
        </w:numPr>
        <w:spacing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criterios de innovación y replicabilidad se usaron para seleccionar los proyectos?</w:t>
      </w:r>
    </w:p>
    <w:p w14:paraId="01364A13" w14:textId="77777777" w:rsidR="000A1C62" w:rsidRDefault="000A1C62" w:rsidP="000A1C62">
      <w:pPr>
        <w:pStyle w:val="Prrafodelista"/>
        <w:spacing w:line="240" w:lineRule="auto"/>
        <w:jc w:val="both"/>
        <w:rPr>
          <w:rFonts w:ascii="Arial" w:hAnsi="Arial" w:cs="Arial"/>
          <w:sz w:val="20"/>
          <w:szCs w:val="20"/>
        </w:rPr>
      </w:pPr>
      <w:r w:rsidRPr="000A1C62">
        <w:rPr>
          <w:rFonts w:ascii="Arial" w:hAnsi="Arial" w:cs="Arial"/>
          <w:sz w:val="20"/>
          <w:szCs w:val="20"/>
        </w:rPr>
        <w:t>Se valoró el grado de desarrollo o madurez tecnológica utilizado en el proyecto, teniendo en cuenta si se parte para su realización de tecnologías maduras o de tecnologías probadas con éxito en entornos reales, que pueden encontrarse disponibles de forma libre o mediante licencia o si por el contrario se trata de tecnologías que se encuentran en fase de desarrollo y validación o bien a nivel de idea o de prueba de concepto.</w:t>
      </w:r>
    </w:p>
    <w:p w14:paraId="12B829A1" w14:textId="77777777" w:rsidR="000A1C62" w:rsidRPr="000A1C62" w:rsidRDefault="000A1C62" w:rsidP="000A1C62">
      <w:pPr>
        <w:pStyle w:val="Prrafodelista"/>
        <w:spacing w:line="240" w:lineRule="auto"/>
        <w:jc w:val="both"/>
        <w:rPr>
          <w:rFonts w:ascii="Arial" w:hAnsi="Arial" w:cs="Arial"/>
          <w:sz w:val="20"/>
          <w:szCs w:val="20"/>
        </w:rPr>
      </w:pPr>
    </w:p>
    <w:p w14:paraId="1AC472CD" w14:textId="77777777" w:rsidR="000A1C62" w:rsidRDefault="000A1C62" w:rsidP="000A1C62">
      <w:pPr>
        <w:pStyle w:val="Prrafodelista"/>
        <w:spacing w:line="240" w:lineRule="auto"/>
        <w:jc w:val="both"/>
        <w:rPr>
          <w:rFonts w:ascii="Arial" w:hAnsi="Arial" w:cs="Arial"/>
          <w:sz w:val="20"/>
          <w:szCs w:val="20"/>
        </w:rPr>
      </w:pPr>
      <w:r w:rsidRPr="000A1C62">
        <w:rPr>
          <w:rFonts w:ascii="Arial" w:hAnsi="Arial" w:cs="Arial"/>
          <w:sz w:val="20"/>
          <w:szCs w:val="20"/>
        </w:rPr>
        <w:t>Por otro lado, se valoró el grado de innovación de las actuaciones teniendo en cuenta si se trata de una innovación incremental: mejora de las prestaciones, funcionalidades u operativa de tecnologías o productos que se encuentran disponibles en el mercado. O bien, se trata de una innovación radical: un producto o servicio alternativo, completamente nuevo en el mercado. Esta última opción, se consideró muy innovadora y se le asignó la máxima puntuación.</w:t>
      </w:r>
    </w:p>
    <w:p w14:paraId="2DADB9D2" w14:textId="77777777" w:rsidR="000A1C62" w:rsidRPr="000A1C62" w:rsidRDefault="000A1C62" w:rsidP="000A1C62">
      <w:pPr>
        <w:pStyle w:val="Prrafodelista"/>
        <w:spacing w:line="240" w:lineRule="auto"/>
        <w:jc w:val="both"/>
        <w:rPr>
          <w:rFonts w:ascii="Arial" w:hAnsi="Arial" w:cs="Arial"/>
          <w:sz w:val="20"/>
          <w:szCs w:val="20"/>
        </w:rPr>
      </w:pPr>
    </w:p>
    <w:p w14:paraId="7D74E947" w14:textId="77777777" w:rsidR="000A1C62" w:rsidRDefault="000A1C62" w:rsidP="000A1C62">
      <w:pPr>
        <w:pStyle w:val="Prrafodelista"/>
        <w:spacing w:line="240" w:lineRule="auto"/>
        <w:jc w:val="both"/>
        <w:rPr>
          <w:rFonts w:ascii="Arial" w:hAnsi="Arial" w:cs="Arial"/>
          <w:sz w:val="20"/>
          <w:szCs w:val="20"/>
        </w:rPr>
      </w:pPr>
      <w:r w:rsidRPr="000A1C62">
        <w:rPr>
          <w:rFonts w:ascii="Arial" w:hAnsi="Arial" w:cs="Arial"/>
          <w:sz w:val="20"/>
          <w:szCs w:val="20"/>
        </w:rPr>
        <w:t xml:space="preserve">En cuanto a replicabilidad, se valoró: </w:t>
      </w:r>
    </w:p>
    <w:p w14:paraId="304DBCF6" w14:textId="77777777" w:rsidR="000A1C62" w:rsidRPr="000A1C62" w:rsidRDefault="000A1C62" w:rsidP="000A1C62">
      <w:pPr>
        <w:pStyle w:val="Prrafodelista"/>
        <w:spacing w:line="240" w:lineRule="auto"/>
        <w:jc w:val="both"/>
        <w:rPr>
          <w:rFonts w:ascii="Arial" w:hAnsi="Arial" w:cs="Arial"/>
          <w:sz w:val="20"/>
          <w:szCs w:val="20"/>
        </w:rPr>
      </w:pPr>
    </w:p>
    <w:p w14:paraId="09264717" w14:textId="77777777" w:rsidR="000A1C62" w:rsidRPr="000A1C62" w:rsidRDefault="000A1C62" w:rsidP="005D4B24">
      <w:pPr>
        <w:pStyle w:val="Prrafodelista"/>
        <w:numPr>
          <w:ilvl w:val="0"/>
          <w:numId w:val="12"/>
        </w:numPr>
        <w:spacing w:line="240" w:lineRule="auto"/>
        <w:jc w:val="both"/>
        <w:rPr>
          <w:rFonts w:ascii="Arial" w:hAnsi="Arial" w:cs="Arial"/>
          <w:sz w:val="20"/>
          <w:szCs w:val="20"/>
        </w:rPr>
      </w:pPr>
      <w:r w:rsidRPr="000A1C62">
        <w:rPr>
          <w:rFonts w:ascii="Arial" w:hAnsi="Arial" w:cs="Arial"/>
          <w:sz w:val="20"/>
          <w:szCs w:val="20"/>
        </w:rPr>
        <w:t xml:space="preserve">¿Se ha realizado un estudio de mercado para replicar la actuación a nivel nacional? </w:t>
      </w:r>
    </w:p>
    <w:p w14:paraId="1C81E3A5" w14:textId="77777777" w:rsidR="000A1C62" w:rsidRPr="000A1C62" w:rsidRDefault="000A1C62" w:rsidP="005D4B24">
      <w:pPr>
        <w:pStyle w:val="Prrafodelista"/>
        <w:numPr>
          <w:ilvl w:val="0"/>
          <w:numId w:val="12"/>
        </w:numPr>
        <w:spacing w:line="240" w:lineRule="auto"/>
        <w:jc w:val="both"/>
        <w:rPr>
          <w:rFonts w:ascii="Arial" w:hAnsi="Arial" w:cs="Arial"/>
          <w:sz w:val="20"/>
          <w:szCs w:val="20"/>
        </w:rPr>
      </w:pPr>
      <w:r w:rsidRPr="000A1C62">
        <w:rPr>
          <w:rFonts w:ascii="Arial" w:hAnsi="Arial" w:cs="Arial"/>
          <w:sz w:val="20"/>
          <w:szCs w:val="20"/>
        </w:rPr>
        <w:t xml:space="preserve">¿Se ha elaborado un Plan de Negocio vinculado a extender las actuaciones inicialmente previstas para aumentar la cuota de mercado a nivel nacional o internacional? </w:t>
      </w:r>
    </w:p>
    <w:p w14:paraId="3E0703D0" w14:textId="77777777" w:rsidR="000A1C62" w:rsidRPr="000A1C62" w:rsidRDefault="000A1C62" w:rsidP="005D4B24">
      <w:pPr>
        <w:pStyle w:val="Prrafodelista"/>
        <w:numPr>
          <w:ilvl w:val="0"/>
          <w:numId w:val="12"/>
        </w:numPr>
        <w:spacing w:line="240" w:lineRule="auto"/>
        <w:jc w:val="both"/>
        <w:rPr>
          <w:rFonts w:ascii="Arial" w:hAnsi="Arial" w:cs="Arial"/>
          <w:sz w:val="20"/>
          <w:szCs w:val="20"/>
        </w:rPr>
      </w:pPr>
      <w:r w:rsidRPr="000A1C62">
        <w:rPr>
          <w:rFonts w:ascii="Arial" w:hAnsi="Arial" w:cs="Arial"/>
          <w:sz w:val="20"/>
          <w:szCs w:val="20"/>
        </w:rPr>
        <w:t xml:space="preserve">Las actuaciones que se plantean por su singularidad no son replicables: nada replicable </w:t>
      </w:r>
    </w:p>
    <w:p w14:paraId="2E2A185B" w14:textId="77777777" w:rsidR="000A1C62" w:rsidRPr="000A1C62" w:rsidRDefault="000A1C62" w:rsidP="005D4B24">
      <w:pPr>
        <w:pStyle w:val="Prrafodelista"/>
        <w:numPr>
          <w:ilvl w:val="0"/>
          <w:numId w:val="12"/>
        </w:numPr>
        <w:spacing w:line="240" w:lineRule="auto"/>
        <w:jc w:val="both"/>
        <w:rPr>
          <w:rFonts w:ascii="Arial" w:hAnsi="Arial" w:cs="Arial"/>
          <w:sz w:val="20"/>
          <w:szCs w:val="20"/>
        </w:rPr>
      </w:pPr>
      <w:r w:rsidRPr="000A1C62">
        <w:rPr>
          <w:rFonts w:ascii="Arial" w:hAnsi="Arial" w:cs="Arial"/>
          <w:sz w:val="20"/>
          <w:szCs w:val="20"/>
        </w:rPr>
        <w:lastRenderedPageBreak/>
        <w:t xml:space="preserve">Las actuaciones tienen difícil replicabilidad y requerirán de incentivos o de condiciones especiales para reproducirse en otro destino: poco replicable </w:t>
      </w:r>
    </w:p>
    <w:p w14:paraId="1FF53413" w14:textId="77777777" w:rsidR="000A1C62" w:rsidRDefault="000A1C62" w:rsidP="005D4B24">
      <w:pPr>
        <w:pStyle w:val="Prrafodelista"/>
        <w:numPr>
          <w:ilvl w:val="0"/>
          <w:numId w:val="12"/>
        </w:numPr>
        <w:spacing w:line="240" w:lineRule="auto"/>
        <w:jc w:val="both"/>
        <w:rPr>
          <w:rFonts w:ascii="Arial" w:hAnsi="Arial" w:cs="Arial"/>
          <w:sz w:val="20"/>
          <w:szCs w:val="20"/>
        </w:rPr>
      </w:pPr>
      <w:r w:rsidRPr="000A1C62">
        <w:rPr>
          <w:rFonts w:ascii="Arial" w:hAnsi="Arial" w:cs="Arial"/>
          <w:sz w:val="20"/>
          <w:szCs w:val="20"/>
        </w:rPr>
        <w:t xml:space="preserve">Las actuaciones que se plantean son fácilmente replicables y escalables ya que no existen condicionantes técnicos, económicos o logísticos que lo impidan: buena replicabilidad </w:t>
      </w:r>
    </w:p>
    <w:p w14:paraId="494DD5A1" w14:textId="77777777" w:rsidR="00B55CC4" w:rsidRDefault="00B55CC4" w:rsidP="00B55CC4">
      <w:pPr>
        <w:pStyle w:val="Prrafodelista"/>
        <w:spacing w:line="240" w:lineRule="auto"/>
        <w:ind w:left="1440"/>
        <w:jc w:val="both"/>
        <w:rPr>
          <w:rFonts w:ascii="Arial" w:hAnsi="Arial" w:cs="Arial"/>
          <w:sz w:val="20"/>
          <w:szCs w:val="20"/>
        </w:rPr>
      </w:pPr>
    </w:p>
    <w:p w14:paraId="34024824" w14:textId="77777777" w:rsidR="00AE4674" w:rsidRPr="000A1C62" w:rsidRDefault="00AE4674" w:rsidP="00B55CC4">
      <w:pPr>
        <w:pStyle w:val="Prrafodelista"/>
        <w:spacing w:line="240" w:lineRule="auto"/>
        <w:ind w:left="1440"/>
        <w:jc w:val="both"/>
        <w:rPr>
          <w:rFonts w:ascii="Arial" w:hAnsi="Arial" w:cs="Arial"/>
          <w:sz w:val="20"/>
          <w:szCs w:val="20"/>
        </w:rPr>
      </w:pPr>
    </w:p>
    <w:p w14:paraId="47EA60D9" w14:textId="208CDFFA" w:rsidR="1174D14F" w:rsidRPr="003107CC" w:rsidRDefault="1174D14F" w:rsidP="005D4B24">
      <w:pPr>
        <w:pStyle w:val="Prrafodelista"/>
        <w:numPr>
          <w:ilvl w:val="0"/>
          <w:numId w:val="4"/>
        </w:numPr>
        <w:spacing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¿Cómo involucraron a startups, universidades o centros de I+D en estos programas?</w:t>
      </w:r>
    </w:p>
    <w:p w14:paraId="478B358A" w14:textId="77777777" w:rsidR="005D4B24" w:rsidRDefault="005D4B24" w:rsidP="005D4B24">
      <w:pPr>
        <w:pStyle w:val="Prrafodelista"/>
        <w:spacing w:line="240" w:lineRule="auto"/>
        <w:jc w:val="both"/>
        <w:rPr>
          <w:rFonts w:ascii="Arial" w:hAnsi="Arial" w:cs="Arial"/>
          <w:sz w:val="20"/>
          <w:szCs w:val="20"/>
        </w:rPr>
      </w:pPr>
      <w:r w:rsidRPr="005D4B24">
        <w:rPr>
          <w:rFonts w:ascii="Arial" w:hAnsi="Arial" w:cs="Arial"/>
          <w:sz w:val="20"/>
          <w:szCs w:val="20"/>
        </w:rPr>
        <w:t>Eran potenciales beneficiarios. Se celebraron webinarios para presentar y difundir el Programa.</w:t>
      </w:r>
    </w:p>
    <w:p w14:paraId="5FE09A9B" w14:textId="77777777" w:rsidR="00AE4674" w:rsidRPr="005D4B24" w:rsidRDefault="00AE4674" w:rsidP="005D4B24">
      <w:pPr>
        <w:pStyle w:val="Prrafodelista"/>
        <w:spacing w:line="240" w:lineRule="auto"/>
        <w:jc w:val="both"/>
        <w:rPr>
          <w:rFonts w:ascii="Arial" w:hAnsi="Arial" w:cs="Arial"/>
          <w:sz w:val="20"/>
          <w:szCs w:val="20"/>
        </w:rPr>
      </w:pPr>
    </w:p>
    <w:p w14:paraId="68402415" w14:textId="77777777" w:rsidR="00D34401" w:rsidRPr="00D34401" w:rsidRDefault="00D34401" w:rsidP="00D34401">
      <w:pPr>
        <w:pStyle w:val="Prrafodelista"/>
        <w:spacing w:line="240" w:lineRule="auto"/>
        <w:rPr>
          <w:rFonts w:ascii="Arial" w:eastAsiaTheme="minorEastAsia" w:hAnsi="Arial" w:cs="Arial"/>
          <w:sz w:val="20"/>
          <w:szCs w:val="20"/>
        </w:rPr>
      </w:pPr>
    </w:p>
    <w:p w14:paraId="4ED3857F" w14:textId="637FAF54" w:rsidR="1174D14F" w:rsidRDefault="1174D14F" w:rsidP="005D4B24">
      <w:pPr>
        <w:pStyle w:val="Prrafodelista"/>
        <w:numPr>
          <w:ilvl w:val="0"/>
          <w:numId w:val="4"/>
        </w:numPr>
        <w:spacing w:line="240" w:lineRule="auto"/>
        <w:ind w:left="714" w:hanging="357"/>
        <w:contextualSpacing w:val="0"/>
        <w:jc w:val="both"/>
        <w:rPr>
          <w:rFonts w:ascii="Arial" w:eastAsiaTheme="minorEastAsia" w:hAnsi="Arial" w:cs="Arial"/>
          <w:sz w:val="20"/>
          <w:szCs w:val="20"/>
        </w:rPr>
      </w:pPr>
      <w:r w:rsidRPr="00EC61BC">
        <w:rPr>
          <w:rFonts w:ascii="Arial" w:eastAsiaTheme="minorEastAsia" w:hAnsi="Arial" w:cs="Arial"/>
          <w:sz w:val="20"/>
          <w:szCs w:val="20"/>
        </w:rPr>
        <w:t>¿</w:t>
      </w:r>
      <w:r w:rsidRPr="003107CC">
        <w:rPr>
          <w:rFonts w:ascii="Arial" w:eastAsiaTheme="minorEastAsia" w:hAnsi="Arial" w:cs="Arial"/>
          <w:b/>
          <w:bCs/>
          <w:sz w:val="20"/>
          <w:szCs w:val="20"/>
        </w:rPr>
        <w:t>Cuáles han sido las principales barreras regulatorias, técnicas o sociales para la implementación de la movilidad eléctrica?</w:t>
      </w:r>
    </w:p>
    <w:p w14:paraId="41107CB9" w14:textId="77777777" w:rsidR="005D4B24" w:rsidRPr="005D4B24" w:rsidRDefault="005D4B24" w:rsidP="005D4B24">
      <w:pPr>
        <w:pStyle w:val="Prrafodelista"/>
        <w:spacing w:line="240" w:lineRule="auto"/>
        <w:jc w:val="both"/>
        <w:rPr>
          <w:rFonts w:ascii="Arial" w:hAnsi="Arial" w:cs="Arial"/>
          <w:sz w:val="20"/>
          <w:szCs w:val="20"/>
        </w:rPr>
      </w:pPr>
      <w:r w:rsidRPr="005D4B24">
        <w:rPr>
          <w:rFonts w:ascii="Arial" w:hAnsi="Arial" w:cs="Arial"/>
          <w:sz w:val="20"/>
          <w:szCs w:val="20"/>
        </w:rPr>
        <w:t xml:space="preserve">Entre otros: </w:t>
      </w:r>
    </w:p>
    <w:p w14:paraId="308D8F03" w14:textId="77777777" w:rsidR="005D4B24" w:rsidRPr="005D4B24" w:rsidRDefault="005D4B24" w:rsidP="005D4B24">
      <w:pPr>
        <w:pStyle w:val="Prrafodelista"/>
        <w:numPr>
          <w:ilvl w:val="0"/>
          <w:numId w:val="11"/>
        </w:numPr>
        <w:spacing w:line="240" w:lineRule="auto"/>
        <w:jc w:val="both"/>
        <w:rPr>
          <w:rFonts w:ascii="Arial" w:hAnsi="Arial" w:cs="Arial"/>
          <w:sz w:val="20"/>
          <w:szCs w:val="20"/>
        </w:rPr>
      </w:pPr>
      <w:r w:rsidRPr="005D4B24">
        <w:rPr>
          <w:rFonts w:ascii="Arial" w:hAnsi="Arial" w:cs="Arial"/>
          <w:sz w:val="20"/>
          <w:szCs w:val="20"/>
        </w:rPr>
        <w:t>El precio de adquisición de los vehículos</w:t>
      </w:r>
    </w:p>
    <w:p w14:paraId="41B43CB5" w14:textId="77777777" w:rsidR="005D4B24" w:rsidRPr="005D4B24" w:rsidRDefault="005D4B24" w:rsidP="005D4B24">
      <w:pPr>
        <w:pStyle w:val="Prrafodelista"/>
        <w:numPr>
          <w:ilvl w:val="0"/>
          <w:numId w:val="11"/>
        </w:numPr>
        <w:spacing w:line="240" w:lineRule="auto"/>
        <w:jc w:val="both"/>
        <w:rPr>
          <w:rFonts w:ascii="Arial" w:hAnsi="Arial" w:cs="Arial"/>
          <w:sz w:val="20"/>
          <w:szCs w:val="20"/>
        </w:rPr>
      </w:pPr>
      <w:r w:rsidRPr="005D4B24">
        <w:rPr>
          <w:rFonts w:ascii="Arial" w:hAnsi="Arial" w:cs="Arial"/>
          <w:sz w:val="20"/>
          <w:szCs w:val="20"/>
        </w:rPr>
        <w:t>La falta de información sobre los vehículos eléctricos: dudas sobre la autonomía o donde podré carga</w:t>
      </w:r>
    </w:p>
    <w:p w14:paraId="3A89C4B2" w14:textId="77777777" w:rsidR="005D4B24" w:rsidRPr="005D4B24" w:rsidRDefault="005D4B24" w:rsidP="005D4B24">
      <w:pPr>
        <w:pStyle w:val="Prrafodelista"/>
        <w:numPr>
          <w:ilvl w:val="0"/>
          <w:numId w:val="11"/>
        </w:numPr>
        <w:spacing w:line="240" w:lineRule="auto"/>
        <w:jc w:val="both"/>
        <w:rPr>
          <w:rFonts w:ascii="Arial" w:hAnsi="Arial" w:cs="Arial"/>
          <w:sz w:val="20"/>
          <w:szCs w:val="20"/>
        </w:rPr>
      </w:pPr>
      <w:r w:rsidRPr="005D4B24">
        <w:rPr>
          <w:rFonts w:ascii="Arial" w:hAnsi="Arial" w:cs="Arial"/>
          <w:sz w:val="20"/>
          <w:szCs w:val="20"/>
        </w:rPr>
        <w:t>Visibilizar los puntos de recarga en carreteras</w:t>
      </w:r>
    </w:p>
    <w:p w14:paraId="524BAB71" w14:textId="77777777" w:rsidR="005D4B24" w:rsidRDefault="005D4B24" w:rsidP="005D4B24">
      <w:pPr>
        <w:pStyle w:val="Prrafodelista"/>
        <w:numPr>
          <w:ilvl w:val="0"/>
          <w:numId w:val="11"/>
        </w:numPr>
        <w:spacing w:line="240" w:lineRule="auto"/>
        <w:jc w:val="both"/>
        <w:rPr>
          <w:rFonts w:ascii="Arial" w:hAnsi="Arial" w:cs="Arial"/>
          <w:sz w:val="20"/>
          <w:szCs w:val="20"/>
        </w:rPr>
      </w:pPr>
      <w:r w:rsidRPr="005D4B24">
        <w:rPr>
          <w:rFonts w:ascii="Arial" w:hAnsi="Arial" w:cs="Arial"/>
          <w:sz w:val="20"/>
          <w:szCs w:val="20"/>
        </w:rPr>
        <w:t>Largos plazos para tramitar los puntos de recarga de acceso público.</w:t>
      </w:r>
    </w:p>
    <w:p w14:paraId="543BAE6E" w14:textId="77777777" w:rsidR="00AE4674" w:rsidRDefault="00AE4674" w:rsidP="00AE4674">
      <w:pPr>
        <w:spacing w:line="240" w:lineRule="auto"/>
        <w:jc w:val="both"/>
        <w:rPr>
          <w:rFonts w:ascii="Arial" w:hAnsi="Arial" w:cs="Arial"/>
          <w:sz w:val="20"/>
          <w:szCs w:val="20"/>
        </w:rPr>
      </w:pPr>
    </w:p>
    <w:p w14:paraId="35CF5A11" w14:textId="77777777" w:rsidR="00AE4674" w:rsidRPr="00AE4674" w:rsidRDefault="00AE4674" w:rsidP="00AE4674">
      <w:pPr>
        <w:spacing w:line="240" w:lineRule="auto"/>
        <w:jc w:val="both"/>
        <w:rPr>
          <w:rFonts w:ascii="Arial" w:hAnsi="Arial" w:cs="Arial"/>
          <w:sz w:val="20"/>
          <w:szCs w:val="20"/>
        </w:rPr>
      </w:pPr>
    </w:p>
    <w:p w14:paraId="07862A46" w14:textId="77777777" w:rsidR="005D4B24" w:rsidRPr="005D4B24" w:rsidRDefault="005D4B24" w:rsidP="005D4B24">
      <w:pPr>
        <w:pStyle w:val="Prrafodelista"/>
        <w:spacing w:line="240" w:lineRule="auto"/>
        <w:jc w:val="both"/>
        <w:rPr>
          <w:rFonts w:ascii="Arial" w:hAnsi="Arial" w:cs="Arial"/>
          <w:sz w:val="20"/>
          <w:szCs w:val="20"/>
        </w:rPr>
      </w:pPr>
    </w:p>
    <w:p w14:paraId="380977D0" w14:textId="13EFC2A5" w:rsidR="00D34401" w:rsidRPr="003107CC" w:rsidRDefault="1174D14F" w:rsidP="003107CC">
      <w:pPr>
        <w:pStyle w:val="Prrafodelista"/>
        <w:numPr>
          <w:ilvl w:val="0"/>
          <w:numId w:val="4"/>
        </w:numPr>
        <w:spacing w:before="240" w:after="240"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¿Cómo combinaron recursos nacionales y europeos para financiar estos programas?</w:t>
      </w:r>
    </w:p>
    <w:p w14:paraId="3D6F5012" w14:textId="77777777" w:rsidR="00A97DD7" w:rsidRDefault="00A97DD7" w:rsidP="00A97DD7">
      <w:pPr>
        <w:pStyle w:val="Prrafodelista"/>
        <w:spacing w:line="240" w:lineRule="auto"/>
        <w:jc w:val="both"/>
        <w:rPr>
          <w:rFonts w:ascii="Arial" w:hAnsi="Arial" w:cs="Arial"/>
          <w:sz w:val="20"/>
          <w:szCs w:val="20"/>
        </w:rPr>
      </w:pPr>
      <w:r w:rsidRPr="00A97DD7">
        <w:rPr>
          <w:rFonts w:ascii="Arial" w:hAnsi="Arial" w:cs="Arial"/>
          <w:sz w:val="20"/>
          <w:szCs w:val="20"/>
        </w:rPr>
        <w:t xml:space="preserve">Tras la pandemia del COVID, ha habido una inyección importante de fondos europeos, pudiendo destinar hasta 2.000 M€ al fomento de la movilidad eléctrica en los últimos 4 años. Todos los programas de ayuda, desde el año 2021, se han acogido a los fondos Next Gen. </w:t>
      </w:r>
    </w:p>
    <w:p w14:paraId="4D338BDD" w14:textId="77777777" w:rsidR="00AE4674" w:rsidRPr="00A97DD7" w:rsidRDefault="00AE4674" w:rsidP="00A97DD7">
      <w:pPr>
        <w:pStyle w:val="Prrafodelista"/>
        <w:spacing w:line="240" w:lineRule="auto"/>
        <w:jc w:val="both"/>
        <w:rPr>
          <w:rFonts w:ascii="Arial" w:hAnsi="Arial" w:cs="Arial"/>
          <w:sz w:val="20"/>
          <w:szCs w:val="20"/>
        </w:rPr>
      </w:pPr>
    </w:p>
    <w:p w14:paraId="6CC18C86" w14:textId="77777777" w:rsidR="00D34401" w:rsidRPr="00D34401" w:rsidRDefault="00D34401" w:rsidP="00D34401">
      <w:pPr>
        <w:pStyle w:val="Prrafodelista"/>
        <w:spacing w:line="240" w:lineRule="auto"/>
        <w:jc w:val="both"/>
        <w:rPr>
          <w:rFonts w:ascii="Arial" w:eastAsiaTheme="minorEastAsia" w:hAnsi="Arial" w:cs="Arial"/>
          <w:sz w:val="20"/>
          <w:szCs w:val="20"/>
        </w:rPr>
      </w:pPr>
    </w:p>
    <w:p w14:paraId="18D7EA44" w14:textId="1D5A9400" w:rsidR="1174D14F" w:rsidRPr="003107CC" w:rsidRDefault="1174D14F" w:rsidP="00E51A02">
      <w:pPr>
        <w:pStyle w:val="Prrafodelista"/>
        <w:numPr>
          <w:ilvl w:val="0"/>
          <w:numId w:val="4"/>
        </w:numPr>
        <w:spacing w:before="240" w:after="240"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¿Qué instrumentos financieros innovadores (leasing verde, renting, PPA de movilidad, etc.) han utilizado?</w:t>
      </w:r>
    </w:p>
    <w:p w14:paraId="7681E87C" w14:textId="4E16C519" w:rsidR="00E51A02" w:rsidRDefault="00E51A02" w:rsidP="00E51A02">
      <w:pPr>
        <w:pStyle w:val="Prrafodelista"/>
        <w:spacing w:before="240" w:after="240" w:line="240" w:lineRule="auto"/>
        <w:jc w:val="both"/>
        <w:rPr>
          <w:rFonts w:ascii="Arial" w:eastAsiaTheme="minorEastAsia" w:hAnsi="Arial" w:cs="Arial"/>
          <w:sz w:val="20"/>
          <w:szCs w:val="20"/>
        </w:rPr>
      </w:pPr>
      <w:r>
        <w:rPr>
          <w:rFonts w:ascii="Arial" w:eastAsiaTheme="minorEastAsia" w:hAnsi="Arial" w:cs="Arial"/>
          <w:sz w:val="20"/>
          <w:szCs w:val="20"/>
        </w:rPr>
        <w:t>No se han utilizado instrumentos financieros innovadores.</w:t>
      </w:r>
    </w:p>
    <w:p w14:paraId="347EFDD3" w14:textId="77777777" w:rsidR="00AE4674" w:rsidRDefault="00AE4674" w:rsidP="00E51A02">
      <w:pPr>
        <w:pStyle w:val="Prrafodelista"/>
        <w:spacing w:before="240" w:after="240" w:line="240" w:lineRule="auto"/>
        <w:jc w:val="both"/>
        <w:rPr>
          <w:rFonts w:ascii="Arial" w:eastAsiaTheme="minorEastAsia" w:hAnsi="Arial" w:cs="Arial"/>
          <w:sz w:val="20"/>
          <w:szCs w:val="20"/>
        </w:rPr>
      </w:pPr>
    </w:p>
    <w:p w14:paraId="221B08DF" w14:textId="0BAA51A8" w:rsidR="00D34401" w:rsidRPr="00EC61BC" w:rsidRDefault="00D34401" w:rsidP="00D34401">
      <w:pPr>
        <w:pStyle w:val="Prrafodelista"/>
        <w:spacing w:before="240" w:after="240" w:line="240" w:lineRule="auto"/>
        <w:jc w:val="both"/>
        <w:rPr>
          <w:rFonts w:ascii="Arial" w:eastAsiaTheme="minorEastAsia" w:hAnsi="Arial" w:cs="Arial"/>
          <w:sz w:val="20"/>
          <w:szCs w:val="20"/>
        </w:rPr>
      </w:pPr>
    </w:p>
    <w:p w14:paraId="5C7E07C6" w14:textId="06DA23A7" w:rsidR="1174D14F" w:rsidRPr="003107CC" w:rsidRDefault="1174D14F" w:rsidP="00A97DD7">
      <w:pPr>
        <w:pStyle w:val="Prrafodelista"/>
        <w:numPr>
          <w:ilvl w:val="0"/>
          <w:numId w:val="4"/>
        </w:numPr>
        <w:spacing w:before="240" w:after="240" w:line="240" w:lineRule="auto"/>
        <w:ind w:left="714" w:hanging="357"/>
        <w:contextualSpacing w:val="0"/>
        <w:jc w:val="both"/>
        <w:rPr>
          <w:rFonts w:ascii="Arial" w:eastAsiaTheme="minorEastAsia" w:hAnsi="Arial" w:cs="Arial"/>
          <w:b/>
          <w:bCs/>
          <w:sz w:val="20"/>
          <w:szCs w:val="20"/>
        </w:rPr>
      </w:pPr>
      <w:r w:rsidRPr="003107CC">
        <w:rPr>
          <w:rFonts w:ascii="Arial" w:eastAsiaTheme="minorEastAsia" w:hAnsi="Arial" w:cs="Arial"/>
          <w:b/>
          <w:bCs/>
          <w:sz w:val="20"/>
          <w:szCs w:val="20"/>
        </w:rPr>
        <w:t>¿Cuál ha sido el papel del IDAE como organismo intermedio en la canalización de estos recursos?</w:t>
      </w:r>
    </w:p>
    <w:p w14:paraId="7F8B94C3" w14:textId="77777777" w:rsidR="00A97DD7" w:rsidRPr="00A97DD7" w:rsidRDefault="00A97DD7" w:rsidP="00A97DD7">
      <w:pPr>
        <w:pStyle w:val="Prrafodelista"/>
        <w:spacing w:line="240" w:lineRule="auto"/>
        <w:jc w:val="both"/>
        <w:rPr>
          <w:rFonts w:ascii="Arial" w:hAnsi="Arial" w:cs="Arial"/>
          <w:sz w:val="20"/>
          <w:szCs w:val="20"/>
        </w:rPr>
      </w:pPr>
      <w:r w:rsidRPr="00A97DD7">
        <w:rPr>
          <w:rFonts w:ascii="Arial" w:hAnsi="Arial" w:cs="Arial"/>
          <w:sz w:val="20"/>
          <w:szCs w:val="20"/>
        </w:rPr>
        <w:t xml:space="preserve">IDAE es organismo intermedio de los fondos FEDER y forma parte de los organismos de la Administración que han gestionado y canalizado los fondos NextGen en el marco del Plan de Recuperación, Transformación y Resiliencia de España. Básicamente se han instrumentalizado diferentes programas de ayudas, fomentado inversiones y realizado seguimiento de la aplicación de los fondos ante la Comisión Europea. </w:t>
      </w:r>
    </w:p>
    <w:p w14:paraId="4D9F7DC0" w14:textId="77777777" w:rsidR="00D34401" w:rsidRPr="00A97DD7" w:rsidRDefault="00D34401" w:rsidP="00A97DD7">
      <w:pPr>
        <w:pStyle w:val="Prrafodelista"/>
        <w:spacing w:line="240" w:lineRule="auto"/>
        <w:jc w:val="both"/>
        <w:rPr>
          <w:rFonts w:ascii="Arial" w:hAnsi="Arial" w:cs="Arial"/>
          <w:sz w:val="20"/>
          <w:szCs w:val="20"/>
        </w:rPr>
      </w:pPr>
    </w:p>
    <w:p w14:paraId="0B77C476" w14:textId="77777777" w:rsidR="00D34401" w:rsidRPr="00D34401" w:rsidRDefault="00D34401" w:rsidP="00D34401">
      <w:pPr>
        <w:spacing w:before="240" w:after="240" w:line="240" w:lineRule="auto"/>
        <w:jc w:val="both"/>
        <w:rPr>
          <w:rFonts w:ascii="Arial" w:eastAsiaTheme="minorEastAsia" w:hAnsi="Arial" w:cs="Arial"/>
          <w:sz w:val="20"/>
          <w:szCs w:val="20"/>
        </w:rPr>
      </w:pPr>
    </w:p>
    <w:p w14:paraId="4D1297C8" w14:textId="52F7812B" w:rsidR="005F5690" w:rsidRPr="00EC61BC" w:rsidRDefault="005F5690" w:rsidP="005F5690">
      <w:pPr>
        <w:jc w:val="both"/>
        <w:rPr>
          <w:rFonts w:ascii="Arial" w:hAnsi="Arial" w:cs="Arial"/>
          <w:sz w:val="20"/>
          <w:szCs w:val="20"/>
        </w:rPr>
      </w:pPr>
      <w:r w:rsidRPr="00EC61BC">
        <w:rPr>
          <w:rFonts w:ascii="Arial" w:hAnsi="Arial" w:cs="Arial"/>
          <w:sz w:val="20"/>
          <w:szCs w:val="20"/>
        </w:rPr>
        <w:lastRenderedPageBreak/>
        <w:t>A través de estas preguntas se pretende consolidar un conocimiento más profundo sobre la experiencia española, identificar buenas prácticas, y aplicar las lecciones aprendidas a los retos regulatorios, técnicos y sociales que Colombia enfrenta en el desarrollo e implementación de su propia estrategia de Comunidades Energéticas</w:t>
      </w:r>
      <w:r w:rsidR="582ACA53" w:rsidRPr="00EC61BC">
        <w:rPr>
          <w:rFonts w:ascii="Arial" w:hAnsi="Arial" w:cs="Arial"/>
          <w:sz w:val="20"/>
          <w:szCs w:val="20"/>
        </w:rPr>
        <w:t>, Eficiencia Energética, despliegue de Infraestructura de Carga y desarrollo de movilidad</w:t>
      </w:r>
      <w:r w:rsidR="30500257" w:rsidRPr="00EC61BC">
        <w:rPr>
          <w:rFonts w:ascii="Arial" w:hAnsi="Arial" w:cs="Arial"/>
          <w:sz w:val="20"/>
          <w:szCs w:val="20"/>
        </w:rPr>
        <w:t xml:space="preserve"> eficiente y</w:t>
      </w:r>
      <w:r w:rsidR="582ACA53" w:rsidRPr="00EC61BC">
        <w:rPr>
          <w:rFonts w:ascii="Arial" w:hAnsi="Arial" w:cs="Arial"/>
          <w:sz w:val="20"/>
          <w:szCs w:val="20"/>
        </w:rPr>
        <w:t xml:space="preserve"> sostenible</w:t>
      </w:r>
      <w:r w:rsidRPr="00EC61BC">
        <w:rPr>
          <w:rFonts w:ascii="Arial" w:hAnsi="Arial" w:cs="Arial"/>
          <w:sz w:val="20"/>
          <w:szCs w:val="20"/>
        </w:rPr>
        <w:t>.</w:t>
      </w:r>
    </w:p>
    <w:p w14:paraId="4F4792DA" w14:textId="64E3B0B4" w:rsidR="00DA0DC2" w:rsidRPr="00EC61BC" w:rsidRDefault="00DA0DC2" w:rsidP="005F5690">
      <w:pPr>
        <w:jc w:val="both"/>
        <w:rPr>
          <w:rFonts w:ascii="Arial" w:hAnsi="Arial" w:cs="Arial"/>
          <w:sz w:val="20"/>
          <w:szCs w:val="20"/>
        </w:rPr>
      </w:pPr>
    </w:p>
    <w:sectPr w:rsidR="00DA0DC2" w:rsidRPr="00EC61BC">
      <w:headerReference w:type="default" r:id="rId27"/>
      <w:footerReference w:type="default" r:id="rId28"/>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AN CARLOS AGREDA BOTINA" w:date="2026-05-27T21:47:00Z" w:initials="JA">
    <w:p w14:paraId="275C78E9" w14:textId="77777777" w:rsidR="00B47294" w:rsidRDefault="00B47294" w:rsidP="00B47294">
      <w:pPr>
        <w:pStyle w:val="Textocomentario"/>
      </w:pPr>
      <w:r>
        <w:rPr>
          <w:rStyle w:val="Refdecomentario"/>
        </w:rPr>
        <w:annotationRef/>
      </w:r>
      <w:r>
        <w:t>Ing, Julio</w:t>
      </w:r>
    </w:p>
  </w:comment>
  <w:comment w:id="1" w:author="JUAN CARLOS AGREDA BOTINA" w:date="2026-05-27T21:50:00Z" w:initials="JA">
    <w:p w14:paraId="47D8A069" w14:textId="77777777" w:rsidR="00B47294" w:rsidRDefault="00B47294" w:rsidP="00B47294">
      <w:pPr>
        <w:pStyle w:val="Textocomentario"/>
      </w:pPr>
      <w:r>
        <w:rPr>
          <w:rStyle w:val="Refdecomentario"/>
        </w:rPr>
        <w:annotationRef/>
      </w:r>
      <w:r>
        <w:t>Ing. Julio</w:t>
      </w:r>
    </w:p>
  </w:comment>
  <w:comment w:id="2" w:author="JUAN CARLOS AGREDA BOTINA" w:date="2026-05-27T21:54:00Z" w:initials="JA">
    <w:p w14:paraId="47864595" w14:textId="77777777" w:rsidR="000C5C93" w:rsidRDefault="000C5C93" w:rsidP="000C5C93">
      <w:pPr>
        <w:pStyle w:val="Textocomentario"/>
      </w:pPr>
      <w:r>
        <w:rPr>
          <w:rStyle w:val="Refdecomentario"/>
        </w:rPr>
        <w:annotationRef/>
      </w:r>
      <w:r>
        <w:t>Ing. Julio</w:t>
      </w:r>
    </w:p>
  </w:comment>
  <w:comment w:id="3" w:author="Luz Evelia Pérez Galán" w:date="2025-05-29T09:51:00Z" w:initials="LP">
    <w:p w14:paraId="514816D3" w14:textId="77777777" w:rsidR="00A26BC8" w:rsidRDefault="00A26BC8" w:rsidP="00A26BC8">
      <w:pPr>
        <w:pStyle w:val="Textocomentario"/>
      </w:pPr>
      <w:r>
        <w:rPr>
          <w:rStyle w:val="Refdecomentario"/>
        </w:rPr>
        <w:annotationRef/>
      </w:r>
      <w:r>
        <w:t>MITERD</w:t>
      </w:r>
    </w:p>
  </w:comment>
  <w:comment w:id="4" w:author="Luz Evelia Pérez Galán" w:date="2025-05-29T09:52:00Z" w:initials="LP">
    <w:p w14:paraId="10DFA202" w14:textId="77777777" w:rsidR="00A26BC8" w:rsidRDefault="00A26BC8" w:rsidP="00A26BC8">
      <w:pPr>
        <w:pStyle w:val="Textocomentario"/>
      </w:pPr>
      <w:r>
        <w:rPr>
          <w:rStyle w:val="Refdecomentario"/>
        </w:rPr>
        <w:annotationRef/>
      </w:r>
      <w:r>
        <w:t>MITERD</w:t>
      </w:r>
    </w:p>
  </w:comment>
  <w:comment w:id="5" w:author="Luz Evelia Pérez Galán" w:date="2025-05-29T09:52:00Z" w:initials="LP">
    <w:p w14:paraId="77D73985" w14:textId="77777777" w:rsidR="00A26BC8" w:rsidRDefault="00A26BC8" w:rsidP="00A26BC8">
      <w:pPr>
        <w:pStyle w:val="Textocomentario"/>
      </w:pPr>
      <w:r>
        <w:rPr>
          <w:rStyle w:val="Refdecomentario"/>
        </w:rPr>
        <w:annotationRef/>
      </w:r>
      <w:r>
        <w:t>MITERD</w:t>
      </w:r>
    </w:p>
  </w:comment>
  <w:comment w:id="6" w:author="Luz Evelia Pérez Galán" w:date="2025-05-29T09:52:00Z" w:initials="LP">
    <w:p w14:paraId="0A08FFB2" w14:textId="77777777" w:rsidR="00A26BC8" w:rsidRDefault="00A26BC8" w:rsidP="00A26BC8">
      <w:pPr>
        <w:pStyle w:val="Textocomentario"/>
      </w:pPr>
      <w:r>
        <w:rPr>
          <w:rStyle w:val="Refdecomentario"/>
        </w:rPr>
        <w:annotationRef/>
      </w:r>
      <w:r>
        <w:t>MITERD</w:t>
      </w:r>
    </w:p>
  </w:comment>
  <w:comment w:id="7" w:author="Luz Evelia Pérez Galán" w:date="2025-05-29T09:52:00Z" w:initials="LP">
    <w:p w14:paraId="689E3924" w14:textId="77777777" w:rsidR="00A26BC8" w:rsidRDefault="00A26BC8" w:rsidP="00A26BC8">
      <w:pPr>
        <w:pStyle w:val="Textocomentario"/>
      </w:pPr>
      <w:r>
        <w:rPr>
          <w:rStyle w:val="Refdecomentario"/>
        </w:rPr>
        <w:annotationRef/>
      </w:r>
      <w:r>
        <w:t>MITERD para CAE y SNAE para líneas de aydua</w:t>
      </w:r>
    </w:p>
  </w:comment>
  <w:comment w:id="8" w:author="Luz Evelia Pérez Galán" w:date="2025-05-29T09:53:00Z" w:initials="LP">
    <w:p w14:paraId="3A0C6804" w14:textId="1F4A5E3C" w:rsidR="00A26BC8" w:rsidRDefault="00A26BC8" w:rsidP="00A26BC8">
      <w:pPr>
        <w:pStyle w:val="Textocomentario"/>
      </w:pPr>
      <w:r>
        <w:rPr>
          <w:rStyle w:val="Refdecomentario"/>
        </w:rPr>
        <w:annotationRef/>
      </w:r>
      <w:r>
        <w:t>MITERD - Estrategia de pobreza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C78E9" w15:done="0"/>
  <w15:commentEx w15:paraId="47D8A069" w15:done="0"/>
  <w15:commentEx w15:paraId="47864595" w15:done="0"/>
  <w15:commentEx w15:paraId="514816D3" w15:done="0"/>
  <w15:commentEx w15:paraId="10DFA202" w15:done="0"/>
  <w15:commentEx w15:paraId="77D73985" w15:done="0"/>
  <w15:commentEx w15:paraId="0A08FFB2" w15:done="0"/>
  <w15:commentEx w15:paraId="689E3924" w15:done="0"/>
  <w15:commentEx w15:paraId="3A0C6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6C5EF0" w16cex:dateUtc="2026-05-28T02:47:00Z"/>
  <w16cex:commentExtensible w16cex:durableId="65E07D02" w16cex:dateUtc="2026-05-28T02:50:00Z"/>
  <w16cex:commentExtensible w16cex:durableId="5D13A8C5" w16cex:dateUtc="2026-05-28T02:54:00Z"/>
  <w16cex:commentExtensible w16cex:durableId="6DDC43F5" w16cex:dateUtc="2025-05-29T07:51:00Z"/>
  <w16cex:commentExtensible w16cex:durableId="40DA5FD0" w16cex:dateUtc="2025-05-29T07:52:00Z"/>
  <w16cex:commentExtensible w16cex:durableId="2FEED903" w16cex:dateUtc="2025-05-29T07:52:00Z"/>
  <w16cex:commentExtensible w16cex:durableId="3E922A56" w16cex:dateUtc="2025-05-29T07:52:00Z"/>
  <w16cex:commentExtensible w16cex:durableId="2C389EAF" w16cex:dateUtc="2025-05-29T07:52:00Z"/>
  <w16cex:commentExtensible w16cex:durableId="79534033" w16cex:dateUtc="2025-05-29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C78E9" w16cid:durableId="4B6C5EF0"/>
  <w16cid:commentId w16cid:paraId="47D8A069" w16cid:durableId="65E07D02"/>
  <w16cid:commentId w16cid:paraId="47864595" w16cid:durableId="5D13A8C5"/>
  <w16cid:commentId w16cid:paraId="514816D3" w16cid:durableId="6DDC43F5"/>
  <w16cid:commentId w16cid:paraId="10DFA202" w16cid:durableId="40DA5FD0"/>
  <w16cid:commentId w16cid:paraId="77D73985" w16cid:durableId="2FEED903"/>
  <w16cid:commentId w16cid:paraId="0A08FFB2" w16cid:durableId="3E922A56"/>
  <w16cid:commentId w16cid:paraId="689E3924" w16cid:durableId="2C389EAF"/>
  <w16cid:commentId w16cid:paraId="3A0C6804" w16cid:durableId="795340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115C6" w14:textId="77777777" w:rsidR="00C57708" w:rsidRDefault="00C57708">
      <w:pPr>
        <w:spacing w:after="0" w:line="240" w:lineRule="auto"/>
      </w:pPr>
      <w:r>
        <w:separator/>
      </w:r>
    </w:p>
  </w:endnote>
  <w:endnote w:type="continuationSeparator" w:id="0">
    <w:p w14:paraId="3DA7D559" w14:textId="77777777" w:rsidR="00C57708" w:rsidRDefault="00C57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385D6A0" w14:paraId="000E54FA" w14:textId="77777777" w:rsidTr="0385D6A0">
      <w:trPr>
        <w:trHeight w:val="300"/>
      </w:trPr>
      <w:tc>
        <w:tcPr>
          <w:tcW w:w="2945" w:type="dxa"/>
        </w:tcPr>
        <w:p w14:paraId="7F895F31" w14:textId="71CA0B1C" w:rsidR="0385D6A0" w:rsidRDefault="0385D6A0" w:rsidP="0385D6A0">
          <w:pPr>
            <w:pStyle w:val="Encabezado"/>
            <w:ind w:left="-115"/>
          </w:pPr>
        </w:p>
      </w:tc>
      <w:tc>
        <w:tcPr>
          <w:tcW w:w="2945" w:type="dxa"/>
        </w:tcPr>
        <w:p w14:paraId="6006F322" w14:textId="42CF4048" w:rsidR="0385D6A0" w:rsidRDefault="0385D6A0" w:rsidP="0385D6A0">
          <w:pPr>
            <w:pStyle w:val="Encabezado"/>
            <w:jc w:val="center"/>
          </w:pPr>
        </w:p>
      </w:tc>
      <w:tc>
        <w:tcPr>
          <w:tcW w:w="2945" w:type="dxa"/>
        </w:tcPr>
        <w:p w14:paraId="62FE6A20" w14:textId="19CB4D96" w:rsidR="0385D6A0" w:rsidRDefault="0385D6A0" w:rsidP="0385D6A0">
          <w:pPr>
            <w:pStyle w:val="Encabezado"/>
            <w:ind w:right="-115"/>
            <w:jc w:val="right"/>
          </w:pPr>
        </w:p>
      </w:tc>
    </w:tr>
  </w:tbl>
  <w:p w14:paraId="5A10DC8A" w14:textId="7ECF9747" w:rsidR="0385D6A0" w:rsidRDefault="0385D6A0" w:rsidP="0385D6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AC4F1" w14:textId="77777777" w:rsidR="00C57708" w:rsidRDefault="00C57708">
      <w:pPr>
        <w:spacing w:after="0" w:line="240" w:lineRule="auto"/>
      </w:pPr>
      <w:r>
        <w:separator/>
      </w:r>
    </w:p>
  </w:footnote>
  <w:footnote w:type="continuationSeparator" w:id="0">
    <w:p w14:paraId="6CCC5517" w14:textId="77777777" w:rsidR="00C57708" w:rsidRDefault="00C577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385D6A0" w14:paraId="71CF5CF0" w14:textId="77777777" w:rsidTr="0385D6A0">
      <w:trPr>
        <w:trHeight w:val="300"/>
      </w:trPr>
      <w:tc>
        <w:tcPr>
          <w:tcW w:w="2945" w:type="dxa"/>
        </w:tcPr>
        <w:p w14:paraId="1FFBBA0F" w14:textId="25B26A97" w:rsidR="0385D6A0" w:rsidRDefault="0385D6A0" w:rsidP="0385D6A0">
          <w:pPr>
            <w:pStyle w:val="Encabezado"/>
            <w:ind w:left="-115"/>
          </w:pPr>
        </w:p>
      </w:tc>
      <w:tc>
        <w:tcPr>
          <w:tcW w:w="2945" w:type="dxa"/>
        </w:tcPr>
        <w:p w14:paraId="4B067013" w14:textId="343100AA" w:rsidR="0385D6A0" w:rsidRDefault="0385D6A0" w:rsidP="0385D6A0">
          <w:pPr>
            <w:jc w:val="center"/>
          </w:pPr>
          <w:r>
            <w:rPr>
              <w:noProof/>
            </w:rPr>
            <w:drawing>
              <wp:inline distT="0" distB="0" distL="0" distR="0" wp14:anchorId="0EFE9E7B" wp14:editId="7CEF3EEF">
                <wp:extent cx="666750" cy="581025"/>
                <wp:effectExtent l="0" t="0" r="0" b="0"/>
                <wp:docPr id="855772985" name="Imagen 855772985" descr="Imagen 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66750" cy="581025"/>
                        </a:xfrm>
                        <a:prstGeom prst="rect">
                          <a:avLst/>
                        </a:prstGeom>
                      </pic:spPr>
                    </pic:pic>
                  </a:graphicData>
                </a:graphic>
              </wp:inline>
            </w:drawing>
          </w:r>
          <w:r>
            <w:br/>
          </w:r>
        </w:p>
      </w:tc>
      <w:tc>
        <w:tcPr>
          <w:tcW w:w="2945" w:type="dxa"/>
        </w:tcPr>
        <w:p w14:paraId="2F95AA66" w14:textId="635C6D42" w:rsidR="0385D6A0" w:rsidRDefault="0385D6A0" w:rsidP="0385D6A0">
          <w:pPr>
            <w:pStyle w:val="Encabezado"/>
            <w:ind w:right="-115"/>
            <w:jc w:val="right"/>
          </w:pPr>
        </w:p>
      </w:tc>
    </w:tr>
  </w:tbl>
  <w:p w14:paraId="606B22EA" w14:textId="1BE1631B" w:rsidR="0385D6A0" w:rsidRDefault="0385D6A0" w:rsidP="0385D6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45A"/>
    <w:multiLevelType w:val="hybridMultilevel"/>
    <w:tmpl w:val="EB0A77D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15:restartNumberingAfterBreak="0">
    <w:nsid w:val="04F72418"/>
    <w:multiLevelType w:val="hybridMultilevel"/>
    <w:tmpl w:val="AE429DD0"/>
    <w:lvl w:ilvl="0" w:tplc="0C0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6FC270E"/>
    <w:multiLevelType w:val="hybridMultilevel"/>
    <w:tmpl w:val="EB52600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8936F4F"/>
    <w:multiLevelType w:val="multilevel"/>
    <w:tmpl w:val="9F6EB34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7A1576"/>
    <w:multiLevelType w:val="hybridMultilevel"/>
    <w:tmpl w:val="B75E27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2037BB7"/>
    <w:multiLevelType w:val="hybridMultilevel"/>
    <w:tmpl w:val="CDDE65E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2EB33F0C"/>
    <w:multiLevelType w:val="hybridMultilevel"/>
    <w:tmpl w:val="F76A468C"/>
    <w:lvl w:ilvl="0" w:tplc="CF4AC0A8">
      <w:start w:val="10"/>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506911D2"/>
    <w:multiLevelType w:val="hybridMultilevel"/>
    <w:tmpl w:val="B7805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7F80AC0"/>
    <w:multiLevelType w:val="hybridMultilevel"/>
    <w:tmpl w:val="46B06174"/>
    <w:lvl w:ilvl="0" w:tplc="CF4AC0A8">
      <w:start w:val="10"/>
      <w:numFmt w:val="bullet"/>
      <w:lvlText w:val="-"/>
      <w:lvlJc w:val="left"/>
      <w:pPr>
        <w:ind w:left="1440" w:hanging="360"/>
      </w:pPr>
      <w:rPr>
        <w:rFonts w:ascii="Calibri" w:eastAsiaTheme="minorHAnsi" w:hAnsi="Calibri" w:cstheme="minorBidi"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5D304FE9"/>
    <w:multiLevelType w:val="hybridMultilevel"/>
    <w:tmpl w:val="B86EFF5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5F3A6D47"/>
    <w:multiLevelType w:val="multilevel"/>
    <w:tmpl w:val="09322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33625C"/>
    <w:multiLevelType w:val="hybridMultilevel"/>
    <w:tmpl w:val="696E047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15:restartNumberingAfterBreak="0">
    <w:nsid w:val="6D4FE9B3"/>
    <w:multiLevelType w:val="hybridMultilevel"/>
    <w:tmpl w:val="388005E4"/>
    <w:lvl w:ilvl="0" w:tplc="6616D368">
      <w:start w:val="1"/>
      <w:numFmt w:val="bullet"/>
      <w:lvlText w:val=""/>
      <w:lvlJc w:val="left"/>
      <w:pPr>
        <w:ind w:left="720" w:hanging="360"/>
      </w:pPr>
      <w:rPr>
        <w:rFonts w:ascii="Symbol" w:hAnsi="Symbol" w:hint="default"/>
      </w:rPr>
    </w:lvl>
    <w:lvl w:ilvl="1" w:tplc="BDF88302">
      <w:start w:val="1"/>
      <w:numFmt w:val="bullet"/>
      <w:lvlText w:val="o"/>
      <w:lvlJc w:val="left"/>
      <w:pPr>
        <w:ind w:left="1440" w:hanging="360"/>
      </w:pPr>
      <w:rPr>
        <w:rFonts w:ascii="Courier New" w:hAnsi="Courier New" w:hint="default"/>
      </w:rPr>
    </w:lvl>
    <w:lvl w:ilvl="2" w:tplc="7FFA2D96">
      <w:start w:val="1"/>
      <w:numFmt w:val="bullet"/>
      <w:lvlText w:val=""/>
      <w:lvlJc w:val="left"/>
      <w:pPr>
        <w:ind w:left="2160" w:hanging="360"/>
      </w:pPr>
      <w:rPr>
        <w:rFonts w:ascii="Wingdings" w:hAnsi="Wingdings" w:hint="default"/>
      </w:rPr>
    </w:lvl>
    <w:lvl w:ilvl="3" w:tplc="4C1C2D36">
      <w:start w:val="1"/>
      <w:numFmt w:val="bullet"/>
      <w:lvlText w:val=""/>
      <w:lvlJc w:val="left"/>
      <w:pPr>
        <w:ind w:left="2880" w:hanging="360"/>
      </w:pPr>
      <w:rPr>
        <w:rFonts w:ascii="Symbol" w:hAnsi="Symbol" w:hint="default"/>
      </w:rPr>
    </w:lvl>
    <w:lvl w:ilvl="4" w:tplc="F8A0C916">
      <w:start w:val="1"/>
      <w:numFmt w:val="bullet"/>
      <w:lvlText w:val="o"/>
      <w:lvlJc w:val="left"/>
      <w:pPr>
        <w:ind w:left="3600" w:hanging="360"/>
      </w:pPr>
      <w:rPr>
        <w:rFonts w:ascii="Courier New" w:hAnsi="Courier New" w:hint="default"/>
      </w:rPr>
    </w:lvl>
    <w:lvl w:ilvl="5" w:tplc="0414B1C4">
      <w:start w:val="1"/>
      <w:numFmt w:val="bullet"/>
      <w:lvlText w:val=""/>
      <w:lvlJc w:val="left"/>
      <w:pPr>
        <w:ind w:left="4320" w:hanging="360"/>
      </w:pPr>
      <w:rPr>
        <w:rFonts w:ascii="Wingdings" w:hAnsi="Wingdings" w:hint="default"/>
      </w:rPr>
    </w:lvl>
    <w:lvl w:ilvl="6" w:tplc="2B3E7802">
      <w:start w:val="1"/>
      <w:numFmt w:val="bullet"/>
      <w:lvlText w:val=""/>
      <w:lvlJc w:val="left"/>
      <w:pPr>
        <w:ind w:left="5040" w:hanging="360"/>
      </w:pPr>
      <w:rPr>
        <w:rFonts w:ascii="Symbol" w:hAnsi="Symbol" w:hint="default"/>
      </w:rPr>
    </w:lvl>
    <w:lvl w:ilvl="7" w:tplc="46BAA572">
      <w:start w:val="1"/>
      <w:numFmt w:val="bullet"/>
      <w:lvlText w:val="o"/>
      <w:lvlJc w:val="left"/>
      <w:pPr>
        <w:ind w:left="5760" w:hanging="360"/>
      </w:pPr>
      <w:rPr>
        <w:rFonts w:ascii="Courier New" w:hAnsi="Courier New" w:hint="default"/>
      </w:rPr>
    </w:lvl>
    <w:lvl w:ilvl="8" w:tplc="91B2DA16">
      <w:start w:val="1"/>
      <w:numFmt w:val="bullet"/>
      <w:lvlText w:val=""/>
      <w:lvlJc w:val="left"/>
      <w:pPr>
        <w:ind w:left="6480" w:hanging="360"/>
      </w:pPr>
      <w:rPr>
        <w:rFonts w:ascii="Wingdings" w:hAnsi="Wingdings" w:hint="default"/>
      </w:rPr>
    </w:lvl>
  </w:abstractNum>
  <w:abstractNum w:abstractNumId="13" w15:restartNumberingAfterBreak="0">
    <w:nsid w:val="726D68E5"/>
    <w:multiLevelType w:val="hybridMultilevel"/>
    <w:tmpl w:val="B8949890"/>
    <w:lvl w:ilvl="0" w:tplc="6990446A">
      <w:start w:val="1"/>
      <w:numFmt w:val="bullet"/>
      <w:lvlText w:val=""/>
      <w:lvlJc w:val="left"/>
      <w:pPr>
        <w:ind w:left="720" w:hanging="360"/>
      </w:pPr>
      <w:rPr>
        <w:rFonts w:ascii="Symbol" w:hAnsi="Symbol" w:hint="default"/>
      </w:rPr>
    </w:lvl>
    <w:lvl w:ilvl="1" w:tplc="06E04020">
      <w:start w:val="1"/>
      <w:numFmt w:val="bullet"/>
      <w:lvlText w:val="o"/>
      <w:lvlJc w:val="left"/>
      <w:pPr>
        <w:ind w:left="1440" w:hanging="360"/>
      </w:pPr>
      <w:rPr>
        <w:rFonts w:ascii="Courier New" w:hAnsi="Courier New" w:hint="default"/>
      </w:rPr>
    </w:lvl>
    <w:lvl w:ilvl="2" w:tplc="6EA409E2">
      <w:start w:val="1"/>
      <w:numFmt w:val="bullet"/>
      <w:lvlText w:val=""/>
      <w:lvlJc w:val="left"/>
      <w:pPr>
        <w:ind w:left="2160" w:hanging="360"/>
      </w:pPr>
      <w:rPr>
        <w:rFonts w:ascii="Wingdings" w:hAnsi="Wingdings" w:hint="default"/>
      </w:rPr>
    </w:lvl>
    <w:lvl w:ilvl="3" w:tplc="5EB007AC">
      <w:start w:val="1"/>
      <w:numFmt w:val="bullet"/>
      <w:lvlText w:val=""/>
      <w:lvlJc w:val="left"/>
      <w:pPr>
        <w:ind w:left="2880" w:hanging="360"/>
      </w:pPr>
      <w:rPr>
        <w:rFonts w:ascii="Symbol" w:hAnsi="Symbol" w:hint="default"/>
      </w:rPr>
    </w:lvl>
    <w:lvl w:ilvl="4" w:tplc="CBAE791C">
      <w:start w:val="1"/>
      <w:numFmt w:val="bullet"/>
      <w:lvlText w:val="o"/>
      <w:lvlJc w:val="left"/>
      <w:pPr>
        <w:ind w:left="3600" w:hanging="360"/>
      </w:pPr>
      <w:rPr>
        <w:rFonts w:ascii="Courier New" w:hAnsi="Courier New" w:hint="default"/>
      </w:rPr>
    </w:lvl>
    <w:lvl w:ilvl="5" w:tplc="9112E470">
      <w:start w:val="1"/>
      <w:numFmt w:val="bullet"/>
      <w:lvlText w:val=""/>
      <w:lvlJc w:val="left"/>
      <w:pPr>
        <w:ind w:left="4320" w:hanging="360"/>
      </w:pPr>
      <w:rPr>
        <w:rFonts w:ascii="Wingdings" w:hAnsi="Wingdings" w:hint="default"/>
      </w:rPr>
    </w:lvl>
    <w:lvl w:ilvl="6" w:tplc="4EC8B94A">
      <w:start w:val="1"/>
      <w:numFmt w:val="bullet"/>
      <w:lvlText w:val=""/>
      <w:lvlJc w:val="left"/>
      <w:pPr>
        <w:ind w:left="5040" w:hanging="360"/>
      </w:pPr>
      <w:rPr>
        <w:rFonts w:ascii="Symbol" w:hAnsi="Symbol" w:hint="default"/>
      </w:rPr>
    </w:lvl>
    <w:lvl w:ilvl="7" w:tplc="D156651A">
      <w:start w:val="1"/>
      <w:numFmt w:val="bullet"/>
      <w:lvlText w:val="o"/>
      <w:lvlJc w:val="left"/>
      <w:pPr>
        <w:ind w:left="5760" w:hanging="360"/>
      </w:pPr>
      <w:rPr>
        <w:rFonts w:ascii="Courier New" w:hAnsi="Courier New" w:hint="default"/>
      </w:rPr>
    </w:lvl>
    <w:lvl w:ilvl="8" w:tplc="267005D4">
      <w:start w:val="1"/>
      <w:numFmt w:val="bullet"/>
      <w:lvlText w:val=""/>
      <w:lvlJc w:val="left"/>
      <w:pPr>
        <w:ind w:left="6480" w:hanging="360"/>
      </w:pPr>
      <w:rPr>
        <w:rFonts w:ascii="Wingdings" w:hAnsi="Wingdings" w:hint="default"/>
      </w:rPr>
    </w:lvl>
  </w:abstractNum>
  <w:abstractNum w:abstractNumId="14" w15:restartNumberingAfterBreak="0">
    <w:nsid w:val="77A123B7"/>
    <w:multiLevelType w:val="multilevel"/>
    <w:tmpl w:val="A43C381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9420808">
    <w:abstractNumId w:val="12"/>
  </w:num>
  <w:num w:numId="2" w16cid:durableId="991300145">
    <w:abstractNumId w:val="13"/>
  </w:num>
  <w:num w:numId="3" w16cid:durableId="2074280187">
    <w:abstractNumId w:val="4"/>
  </w:num>
  <w:num w:numId="4" w16cid:durableId="1113354937">
    <w:abstractNumId w:val="14"/>
  </w:num>
  <w:num w:numId="5" w16cid:durableId="1401714622">
    <w:abstractNumId w:val="0"/>
  </w:num>
  <w:num w:numId="6" w16cid:durableId="1776821508">
    <w:abstractNumId w:val="3"/>
  </w:num>
  <w:num w:numId="7" w16cid:durableId="540821320">
    <w:abstractNumId w:val="7"/>
  </w:num>
  <w:num w:numId="8" w16cid:durableId="1414548506">
    <w:abstractNumId w:val="6"/>
  </w:num>
  <w:num w:numId="9" w16cid:durableId="1687320045">
    <w:abstractNumId w:val="8"/>
  </w:num>
  <w:num w:numId="10" w16cid:durableId="1139570951">
    <w:abstractNumId w:val="9"/>
  </w:num>
  <w:num w:numId="11" w16cid:durableId="54592972">
    <w:abstractNumId w:val="5"/>
  </w:num>
  <w:num w:numId="12" w16cid:durableId="1615281287">
    <w:abstractNumId w:val="1"/>
  </w:num>
  <w:num w:numId="13" w16cid:durableId="1070077748">
    <w:abstractNumId w:val="11"/>
  </w:num>
  <w:num w:numId="14" w16cid:durableId="1689061946">
    <w:abstractNumId w:val="2"/>
  </w:num>
  <w:num w:numId="15" w16cid:durableId="11107340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CARLOS AGREDA BOTINA">
    <w15:presenceInfo w15:providerId="AD" w15:userId="S::jcagreda@minenergia.gov.co::1de69eb4-2346-493b-a0cb-fe4c7fef7632"/>
  </w15:person>
  <w15:person w15:author="Luz Evelia Pérez Galán">
    <w15:presenceInfo w15:providerId="AD" w15:userId="S::lpg876@idae.es::537eca30-8182-46c1-8434-b4ffa1267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DC2"/>
    <w:rsid w:val="00010665"/>
    <w:rsid w:val="00027A31"/>
    <w:rsid w:val="00055FC1"/>
    <w:rsid w:val="000620FA"/>
    <w:rsid w:val="00090038"/>
    <w:rsid w:val="00094518"/>
    <w:rsid w:val="000A1C62"/>
    <w:rsid w:val="000C5C93"/>
    <w:rsid w:val="000E2F90"/>
    <w:rsid w:val="000F2A56"/>
    <w:rsid w:val="000F4CF5"/>
    <w:rsid w:val="001103D1"/>
    <w:rsid w:val="001B2835"/>
    <w:rsid w:val="001D7DEC"/>
    <w:rsid w:val="001E4744"/>
    <w:rsid w:val="00202C4F"/>
    <w:rsid w:val="00262285"/>
    <w:rsid w:val="00286FDB"/>
    <w:rsid w:val="002B4537"/>
    <w:rsid w:val="002E630B"/>
    <w:rsid w:val="002E7EB0"/>
    <w:rsid w:val="002F1194"/>
    <w:rsid w:val="003107CC"/>
    <w:rsid w:val="00355391"/>
    <w:rsid w:val="00381654"/>
    <w:rsid w:val="003A0AFF"/>
    <w:rsid w:val="003A2C00"/>
    <w:rsid w:val="004016B0"/>
    <w:rsid w:val="004152AB"/>
    <w:rsid w:val="00423CEE"/>
    <w:rsid w:val="004550BD"/>
    <w:rsid w:val="00456E79"/>
    <w:rsid w:val="00474438"/>
    <w:rsid w:val="00486409"/>
    <w:rsid w:val="0049603F"/>
    <w:rsid w:val="00496840"/>
    <w:rsid w:val="004978C4"/>
    <w:rsid w:val="004C2F55"/>
    <w:rsid w:val="004C3AFF"/>
    <w:rsid w:val="004F01AA"/>
    <w:rsid w:val="0052376E"/>
    <w:rsid w:val="005421A2"/>
    <w:rsid w:val="00560628"/>
    <w:rsid w:val="00591303"/>
    <w:rsid w:val="005B6F71"/>
    <w:rsid w:val="005D4B24"/>
    <w:rsid w:val="005F11EF"/>
    <w:rsid w:val="005F5690"/>
    <w:rsid w:val="00613426"/>
    <w:rsid w:val="006432EC"/>
    <w:rsid w:val="0066039F"/>
    <w:rsid w:val="00674E62"/>
    <w:rsid w:val="006E7D69"/>
    <w:rsid w:val="006F7B0F"/>
    <w:rsid w:val="00712DDB"/>
    <w:rsid w:val="00713E44"/>
    <w:rsid w:val="007310F1"/>
    <w:rsid w:val="00772AF0"/>
    <w:rsid w:val="008C77BF"/>
    <w:rsid w:val="008F0D5A"/>
    <w:rsid w:val="00965D9B"/>
    <w:rsid w:val="009B68E3"/>
    <w:rsid w:val="009D6D22"/>
    <w:rsid w:val="00A15F7F"/>
    <w:rsid w:val="00A26BC8"/>
    <w:rsid w:val="00A303EB"/>
    <w:rsid w:val="00A97DD7"/>
    <w:rsid w:val="00AD1AA8"/>
    <w:rsid w:val="00AE4674"/>
    <w:rsid w:val="00B374C6"/>
    <w:rsid w:val="00B47294"/>
    <w:rsid w:val="00B55CC4"/>
    <w:rsid w:val="00B70FF2"/>
    <w:rsid w:val="00C025EF"/>
    <w:rsid w:val="00C02E5B"/>
    <w:rsid w:val="00C57708"/>
    <w:rsid w:val="00CC2EDD"/>
    <w:rsid w:val="00D34401"/>
    <w:rsid w:val="00D64C94"/>
    <w:rsid w:val="00D9194D"/>
    <w:rsid w:val="00DA0DC2"/>
    <w:rsid w:val="00DA3B71"/>
    <w:rsid w:val="00DA54CF"/>
    <w:rsid w:val="00DC6838"/>
    <w:rsid w:val="00E3479E"/>
    <w:rsid w:val="00E51A02"/>
    <w:rsid w:val="00E6695D"/>
    <w:rsid w:val="00EC61BC"/>
    <w:rsid w:val="00EE07D5"/>
    <w:rsid w:val="00EF5FE0"/>
    <w:rsid w:val="00EF7E1B"/>
    <w:rsid w:val="00F100B1"/>
    <w:rsid w:val="00F91DA7"/>
    <w:rsid w:val="00FE4210"/>
    <w:rsid w:val="0385D6A0"/>
    <w:rsid w:val="0442221A"/>
    <w:rsid w:val="06E5F2A9"/>
    <w:rsid w:val="086F9DC8"/>
    <w:rsid w:val="0DF70329"/>
    <w:rsid w:val="1174D14F"/>
    <w:rsid w:val="1779E1E8"/>
    <w:rsid w:val="17A120A3"/>
    <w:rsid w:val="1CF8E920"/>
    <w:rsid w:val="208F9F8C"/>
    <w:rsid w:val="258EE2A4"/>
    <w:rsid w:val="262764AB"/>
    <w:rsid w:val="26B6AE43"/>
    <w:rsid w:val="2B529FAA"/>
    <w:rsid w:val="2E0AAB0A"/>
    <w:rsid w:val="2FAD1049"/>
    <w:rsid w:val="30500257"/>
    <w:rsid w:val="3406BD5E"/>
    <w:rsid w:val="39FE9ADD"/>
    <w:rsid w:val="42843438"/>
    <w:rsid w:val="436BF1FD"/>
    <w:rsid w:val="48BD5AB9"/>
    <w:rsid w:val="4AF75E79"/>
    <w:rsid w:val="4BC2564C"/>
    <w:rsid w:val="4CC85D0E"/>
    <w:rsid w:val="4D27E677"/>
    <w:rsid w:val="578D6DB6"/>
    <w:rsid w:val="582ACA53"/>
    <w:rsid w:val="628A7C66"/>
    <w:rsid w:val="6A3417BF"/>
    <w:rsid w:val="7359973F"/>
    <w:rsid w:val="74CBEA08"/>
    <w:rsid w:val="79B8CEC3"/>
    <w:rsid w:val="7B488ACF"/>
    <w:rsid w:val="7E3BC97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DE11E"/>
  <w15:chartTrackingRefBased/>
  <w15:docId w15:val="{6736146C-1A27-47C2-83A8-17B0D13ED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A0D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A0D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A0DC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A0DC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A0DC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A0DC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A0DC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A0DC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A0DC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A0DC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A0DC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A0DC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A0DC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A0DC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A0DC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A0DC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A0DC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A0DC2"/>
    <w:rPr>
      <w:rFonts w:eastAsiaTheme="majorEastAsia" w:cstheme="majorBidi"/>
      <w:color w:val="272727" w:themeColor="text1" w:themeTint="D8"/>
    </w:rPr>
  </w:style>
  <w:style w:type="paragraph" w:styleId="Ttulo">
    <w:name w:val="Title"/>
    <w:basedOn w:val="Normal"/>
    <w:next w:val="Normal"/>
    <w:link w:val="TtuloCar"/>
    <w:uiPriority w:val="10"/>
    <w:qFormat/>
    <w:rsid w:val="00DA0D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A0DC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A0DC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A0DC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A0DC2"/>
    <w:pPr>
      <w:spacing w:before="160"/>
      <w:jc w:val="center"/>
    </w:pPr>
    <w:rPr>
      <w:i/>
      <w:iCs/>
      <w:color w:val="404040" w:themeColor="text1" w:themeTint="BF"/>
    </w:rPr>
  </w:style>
  <w:style w:type="character" w:customStyle="1" w:styleId="CitaCar">
    <w:name w:val="Cita Car"/>
    <w:basedOn w:val="Fuentedeprrafopredeter"/>
    <w:link w:val="Cita"/>
    <w:uiPriority w:val="29"/>
    <w:rsid w:val="00DA0DC2"/>
    <w:rPr>
      <w:i/>
      <w:iCs/>
      <w:color w:val="404040" w:themeColor="text1" w:themeTint="BF"/>
    </w:rPr>
  </w:style>
  <w:style w:type="paragraph" w:styleId="Prrafodelista">
    <w:name w:val="List Paragraph"/>
    <w:basedOn w:val="Normal"/>
    <w:uiPriority w:val="34"/>
    <w:qFormat/>
    <w:rsid w:val="00DA0DC2"/>
    <w:pPr>
      <w:ind w:left="720"/>
      <w:contextualSpacing/>
    </w:pPr>
  </w:style>
  <w:style w:type="character" w:styleId="nfasisintenso">
    <w:name w:val="Intense Emphasis"/>
    <w:basedOn w:val="Fuentedeprrafopredeter"/>
    <w:uiPriority w:val="21"/>
    <w:qFormat/>
    <w:rsid w:val="00DA0DC2"/>
    <w:rPr>
      <w:i/>
      <w:iCs/>
      <w:color w:val="0F4761" w:themeColor="accent1" w:themeShade="BF"/>
    </w:rPr>
  </w:style>
  <w:style w:type="paragraph" w:styleId="Citadestacada">
    <w:name w:val="Intense Quote"/>
    <w:basedOn w:val="Normal"/>
    <w:next w:val="Normal"/>
    <w:link w:val="CitadestacadaCar"/>
    <w:uiPriority w:val="30"/>
    <w:qFormat/>
    <w:rsid w:val="00DA0D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A0DC2"/>
    <w:rPr>
      <w:i/>
      <w:iCs/>
      <w:color w:val="0F4761" w:themeColor="accent1" w:themeShade="BF"/>
    </w:rPr>
  </w:style>
  <w:style w:type="character" w:styleId="Referenciaintensa">
    <w:name w:val="Intense Reference"/>
    <w:basedOn w:val="Fuentedeprrafopredeter"/>
    <w:uiPriority w:val="32"/>
    <w:qFormat/>
    <w:rsid w:val="00DA0DC2"/>
    <w:rPr>
      <w:b/>
      <w:bCs/>
      <w:smallCaps/>
      <w:color w:val="0F4761" w:themeColor="accent1" w:themeShade="BF"/>
      <w:spacing w:val="5"/>
    </w:rPr>
  </w:style>
  <w:style w:type="paragraph" w:styleId="Encabezado">
    <w:name w:val="header"/>
    <w:basedOn w:val="Normal"/>
    <w:uiPriority w:val="99"/>
    <w:unhideWhenUsed/>
    <w:rsid w:val="0385D6A0"/>
    <w:pPr>
      <w:tabs>
        <w:tab w:val="center" w:pos="4680"/>
        <w:tab w:val="right" w:pos="9360"/>
      </w:tabs>
      <w:spacing w:after="0" w:line="240" w:lineRule="auto"/>
    </w:pPr>
  </w:style>
  <w:style w:type="paragraph" w:styleId="Piedepgina">
    <w:name w:val="footer"/>
    <w:basedOn w:val="Normal"/>
    <w:uiPriority w:val="99"/>
    <w:unhideWhenUsed/>
    <w:rsid w:val="0385D6A0"/>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semiHidden/>
    <w:unhideWhenUsed/>
    <w:rsid w:val="00A26BC8"/>
    <w:rPr>
      <w:sz w:val="16"/>
      <w:szCs w:val="16"/>
    </w:rPr>
  </w:style>
  <w:style w:type="paragraph" w:styleId="Textocomentario">
    <w:name w:val="annotation text"/>
    <w:basedOn w:val="Normal"/>
    <w:link w:val="TextocomentarioCar"/>
    <w:uiPriority w:val="99"/>
    <w:unhideWhenUsed/>
    <w:rsid w:val="00A26BC8"/>
    <w:pPr>
      <w:spacing w:line="240" w:lineRule="auto"/>
    </w:pPr>
    <w:rPr>
      <w:sz w:val="20"/>
      <w:szCs w:val="20"/>
    </w:rPr>
  </w:style>
  <w:style w:type="character" w:customStyle="1" w:styleId="TextocomentarioCar">
    <w:name w:val="Texto comentario Car"/>
    <w:basedOn w:val="Fuentedeprrafopredeter"/>
    <w:link w:val="Textocomentario"/>
    <w:uiPriority w:val="99"/>
    <w:rsid w:val="00A26BC8"/>
    <w:rPr>
      <w:sz w:val="20"/>
      <w:szCs w:val="20"/>
    </w:rPr>
  </w:style>
  <w:style w:type="paragraph" w:styleId="Asuntodelcomentario">
    <w:name w:val="annotation subject"/>
    <w:basedOn w:val="Textocomentario"/>
    <w:next w:val="Textocomentario"/>
    <w:link w:val="AsuntodelcomentarioCar"/>
    <w:uiPriority w:val="99"/>
    <w:semiHidden/>
    <w:unhideWhenUsed/>
    <w:rsid w:val="00A26BC8"/>
    <w:rPr>
      <w:b/>
      <w:bCs/>
    </w:rPr>
  </w:style>
  <w:style w:type="character" w:customStyle="1" w:styleId="AsuntodelcomentarioCar">
    <w:name w:val="Asunto del comentario Car"/>
    <w:basedOn w:val="TextocomentarioCar"/>
    <w:link w:val="Asuntodelcomentario"/>
    <w:uiPriority w:val="99"/>
    <w:semiHidden/>
    <w:rsid w:val="00A26BC8"/>
    <w:rPr>
      <w:b/>
      <w:bCs/>
      <w:sz w:val="20"/>
      <w:szCs w:val="20"/>
    </w:rPr>
  </w:style>
  <w:style w:type="character" w:styleId="Hipervnculo">
    <w:name w:val="Hyperlink"/>
    <w:basedOn w:val="Fuentedeprrafopredeter"/>
    <w:uiPriority w:val="99"/>
    <w:unhideWhenUsed/>
    <w:rsid w:val="009B68E3"/>
    <w:rPr>
      <w:color w:val="467886" w:themeColor="hyperlink"/>
      <w:u w:val="single"/>
    </w:rPr>
  </w:style>
  <w:style w:type="character" w:styleId="Mencinsinresolver">
    <w:name w:val="Unresolved Mention"/>
    <w:basedOn w:val="Fuentedeprrafopredeter"/>
    <w:uiPriority w:val="99"/>
    <w:semiHidden/>
    <w:unhideWhenUsed/>
    <w:rsid w:val="009B6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1826">
      <w:bodyDiv w:val="1"/>
      <w:marLeft w:val="0"/>
      <w:marRight w:val="0"/>
      <w:marTop w:val="0"/>
      <w:marBottom w:val="0"/>
      <w:divBdr>
        <w:top w:val="none" w:sz="0" w:space="0" w:color="auto"/>
        <w:left w:val="none" w:sz="0" w:space="0" w:color="auto"/>
        <w:bottom w:val="none" w:sz="0" w:space="0" w:color="auto"/>
        <w:right w:val="none" w:sz="0" w:space="0" w:color="auto"/>
      </w:divBdr>
    </w:div>
    <w:div w:id="83887066">
      <w:bodyDiv w:val="1"/>
      <w:marLeft w:val="0"/>
      <w:marRight w:val="0"/>
      <w:marTop w:val="0"/>
      <w:marBottom w:val="0"/>
      <w:divBdr>
        <w:top w:val="none" w:sz="0" w:space="0" w:color="auto"/>
        <w:left w:val="none" w:sz="0" w:space="0" w:color="auto"/>
        <w:bottom w:val="none" w:sz="0" w:space="0" w:color="auto"/>
        <w:right w:val="none" w:sz="0" w:space="0" w:color="auto"/>
      </w:divBdr>
    </w:div>
    <w:div w:id="261454643">
      <w:bodyDiv w:val="1"/>
      <w:marLeft w:val="0"/>
      <w:marRight w:val="0"/>
      <w:marTop w:val="0"/>
      <w:marBottom w:val="0"/>
      <w:divBdr>
        <w:top w:val="none" w:sz="0" w:space="0" w:color="auto"/>
        <w:left w:val="none" w:sz="0" w:space="0" w:color="auto"/>
        <w:bottom w:val="none" w:sz="0" w:space="0" w:color="auto"/>
        <w:right w:val="none" w:sz="0" w:space="0" w:color="auto"/>
      </w:divBdr>
    </w:div>
    <w:div w:id="575356111">
      <w:bodyDiv w:val="1"/>
      <w:marLeft w:val="0"/>
      <w:marRight w:val="0"/>
      <w:marTop w:val="0"/>
      <w:marBottom w:val="0"/>
      <w:divBdr>
        <w:top w:val="none" w:sz="0" w:space="0" w:color="auto"/>
        <w:left w:val="none" w:sz="0" w:space="0" w:color="auto"/>
        <w:bottom w:val="none" w:sz="0" w:space="0" w:color="auto"/>
        <w:right w:val="none" w:sz="0" w:space="0" w:color="auto"/>
      </w:divBdr>
    </w:div>
    <w:div w:id="1724256476">
      <w:bodyDiv w:val="1"/>
      <w:marLeft w:val="0"/>
      <w:marRight w:val="0"/>
      <w:marTop w:val="0"/>
      <w:marBottom w:val="0"/>
      <w:divBdr>
        <w:top w:val="none" w:sz="0" w:space="0" w:color="auto"/>
        <w:left w:val="none" w:sz="0" w:space="0" w:color="auto"/>
        <w:bottom w:val="none" w:sz="0" w:space="0" w:color="auto"/>
        <w:right w:val="none" w:sz="0" w:space="0" w:color="auto"/>
      </w:divBdr>
    </w:div>
    <w:div w:id="20423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www.idae.es/ayudas-y-financiacion/para-la-rehabilitacion-de-edificios/programa-pree-5000-rehabilitacion" TargetMode="External"/><Relationship Id="rId26" Type="http://schemas.openxmlformats.org/officeDocument/2006/relationships/hyperlink" Target="https://www.idae.es/ayudas-y-financiacion/para-movilidad-y-vehiculos/programa-moves-proyectos-singulares-ii/1a-convocatoria" TargetMode="External"/><Relationship Id="rId3" Type="http://schemas.openxmlformats.org/officeDocument/2006/relationships/customXml" Target="../customXml/item3.xml"/><Relationship Id="rId21" Type="http://schemas.openxmlformats.org/officeDocument/2006/relationships/hyperlink" Target="https://www.idae.es/ayudas-y-financiacion/programa-dus-5000-ayudas-para-inversiones-proyectos-singulares-locales-de" TargetMode="Externa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idae.es/ayudas-y-financiacion/programa-dus-5000-ayudas-para-inversiones-proyectos-singulares-locales-de" TargetMode="External"/><Relationship Id="rId25" Type="http://schemas.openxmlformats.org/officeDocument/2006/relationships/hyperlink" Target="https://www.idae.es/ayudas-y-financiacion/para-movilidad-y-vehiculos/programa-moves-flotas"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boe.es/buscar/doc.php?id=DOUE-L-2023-8129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www.idae.es/ayudas-y-financiacion/para-movilidad-y-vehiculos/programa-moves-iii" TargetMode="External"/><Relationship Id="rId5" Type="http://schemas.openxmlformats.org/officeDocument/2006/relationships/styles" Target="styles.xml"/><Relationship Id="rId15" Type="http://schemas.openxmlformats.org/officeDocument/2006/relationships/hyperlink" Target="https://www.miteco.gob.es/es/energia/estrategia-normativa/pniec-23-30.html" TargetMode="External"/><Relationship Id="rId23" Type="http://schemas.openxmlformats.org/officeDocument/2006/relationships/hyperlink" Target="https://www.idae.es/tecnologias/eficiencia-energetica/transporte/grupo-de-trabajo-de-infraestructuras-de-recarga-del-vehiculo-electrico-gtirve" TargetMode="External"/><Relationship Id="rId28"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hyperlink" Target="https://www.idae.es/informacion-y-publicaciones/campanas-y-acciones-de-comunicacion"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dae.es/tecnologias/eficiencia-energetica/edificacion/codigo-tecnico-de-la-edificacion" TargetMode="External"/><Relationship Id="rId22" Type="http://schemas.openxmlformats.org/officeDocument/2006/relationships/hyperlink" Target="https://www.idae.es/ayudas-y-financiacion/para-la-rehabilitacion-de-edificios/programa-pree-5000-rehabilitacion" TargetMode="External"/><Relationship Id="rId27" Type="http://schemas.openxmlformats.org/officeDocument/2006/relationships/header" Target="head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TaxCatchAll xmlns="cbb41903-3b7a-4ba4-9008-a2e3e4b7e0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51E910EA916B428BDA3E4C6DD88C74" ma:contentTypeVersion="18" ma:contentTypeDescription="Create a new document." ma:contentTypeScope="" ma:versionID="81133406dce3dca5db206af7184f5882">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c5fbfd477bcbce8d1e45fd7fe6414983"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8da82d1-668c-47f0-b9e7-135898e43d53}"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7D0D5-C057-4F8A-BDC7-16E055C979EB}">
  <ds:schemaRefs>
    <ds:schemaRef ds:uri="http://schemas.microsoft.com/office/2006/metadata/properties"/>
    <ds:schemaRef ds:uri="http://schemas.microsoft.com/office/infopath/2007/PartnerControls"/>
    <ds:schemaRef ds:uri="ffbc0187-8fa9-4916-a7c7-5655d372b371"/>
    <ds:schemaRef ds:uri="cbb41903-3b7a-4ba4-9008-a2e3e4b7e0c5"/>
  </ds:schemaRefs>
</ds:datastoreItem>
</file>

<file path=customXml/itemProps2.xml><?xml version="1.0" encoding="utf-8"?>
<ds:datastoreItem xmlns:ds="http://schemas.openxmlformats.org/officeDocument/2006/customXml" ds:itemID="{20867CD2-DAD2-440A-85CA-2CB242C71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bc0187-8fa9-4916-a7c7-5655d372b371"/>
    <ds:schemaRef ds:uri="cbb41903-3b7a-4ba4-9008-a2e3e4b7e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B5E64B-5943-451E-9043-82F4CE2041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4235</Words>
  <Characters>23293</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Parra Lloret</dc:creator>
  <cp:keywords/>
  <dc:description/>
  <cp:lastModifiedBy>JUAN CARLOS AGREDA BOTINA</cp:lastModifiedBy>
  <cp:revision>2</cp:revision>
  <dcterms:created xsi:type="dcterms:W3CDTF">2026-05-28T02:54:00Z</dcterms:created>
  <dcterms:modified xsi:type="dcterms:W3CDTF">2026-05-28T02:54:00Z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y fmtid="{D5CDD505-2E9C-101B-9397-08002B2CF9AE}" pid="3" name="MediaServiceImageTags">
    <vt:lpwstr/>
  </property>
</Properties>
</file>